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 xml:space="preserve">                                                           </w:t>
      </w:r>
      <w:r>
        <w:rPr>
          <w:b/>
          <w:sz w:val="28"/>
          <w:szCs w:val="28"/>
        </w:rPr>
        <w:drawing>
          <wp:inline distT="0" distB="0" distL="0" distR="9525">
            <wp:extent cx="581025" cy="8001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81025" cy="800100"/>
                    </a:xfrm>
                    <a:prstGeom prst="rect">
                      <a:avLst/>
                    </a:prstGeom>
                  </pic:spPr>
                </pic:pic>
              </a:graphicData>
            </a:graphic>
          </wp:inline>
        </w:drawing>
      </w:r>
      <w:r>
        <w:rPr>
          <w:b/>
          <w:sz w:val="28"/>
          <w:szCs w:val="28"/>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t>П О С Т А Н О В Л Е Н И Е</w:t>
      </w:r>
    </w:p>
    <w:p>
      <w:pPr>
        <w:pStyle w:val="Normal"/>
        <w:jc w:val="center"/>
        <w:rPr>
          <w:sz w:val="28"/>
          <w:szCs w:val="28"/>
        </w:rPr>
      </w:pPr>
      <w:r>
        <w:rPr>
          <w:sz w:val="28"/>
          <w:szCs w:val="28"/>
        </w:rPr>
        <w:t>АДМИНИСТРАЦИИ БЫСТРИНСКОГО МУНИЦИПАЛЬНОГО РАЙОНА</w:t>
      </w:r>
    </w:p>
    <w:p>
      <w:pPr>
        <w:pStyle w:val="Normal"/>
        <w:rPr>
          <w:sz w:val="28"/>
          <w:szCs w:val="28"/>
        </w:rPr>
      </w:pPr>
      <w:r>
        <w:rPr>
          <w:sz w:val="28"/>
          <w:szCs w:val="28"/>
        </w:rPr>
        <w:t xml:space="preserve">                                                      </w:t>
      </w:r>
    </w:p>
    <w:p>
      <w:pPr>
        <w:pStyle w:val="Normal"/>
        <w:rPr>
          <w:sz w:val="24"/>
          <w:szCs w:val="24"/>
        </w:rPr>
      </w:pPr>
      <w:r>
        <w:rPr>
          <w:sz w:val="24"/>
          <w:szCs w:val="24"/>
        </w:rPr>
        <w:t>684350, Камчатский  край, Быстринский</w:t>
      </w:r>
    </w:p>
    <w:p>
      <w:pPr>
        <w:pStyle w:val="Normal"/>
        <w:rPr>
          <w:sz w:val="24"/>
          <w:szCs w:val="24"/>
        </w:rPr>
      </w:pPr>
      <w:r>
        <w:rPr>
          <w:sz w:val="24"/>
          <w:szCs w:val="24"/>
        </w:rPr>
        <w:t>район, с. Эссо, ул. Терешковой, 1,</w:t>
      </w:r>
    </w:p>
    <w:p>
      <w:pPr>
        <w:pStyle w:val="Normal"/>
        <w:rPr>
          <w:sz w:val="24"/>
          <w:szCs w:val="24"/>
        </w:rPr>
      </w:pPr>
      <w:r>
        <w:rPr>
          <w:sz w:val="24"/>
          <w:szCs w:val="24"/>
        </w:rPr>
        <w:t xml:space="preserve"> </w:t>
      </w:r>
      <w:r>
        <w:rPr>
          <w:sz w:val="24"/>
          <w:szCs w:val="24"/>
        </w:rPr>
        <w:t>тел/факс 21-330</w:t>
      </w:r>
    </w:p>
    <w:p>
      <w:pPr>
        <w:pStyle w:val="Normal"/>
        <w:rPr/>
      </w:pPr>
      <w:hyperlink r:id="rId3">
        <w:r>
          <w:rPr>
            <w:rStyle w:val="Style14"/>
            <w:lang w:val="en-US"/>
          </w:rPr>
          <w:t>http</w:t>
        </w:r>
        <w:r>
          <w:rPr>
            <w:rStyle w:val="Style14"/>
          </w:rPr>
          <w:t>://</w:t>
        </w:r>
        <w:r>
          <w:rPr>
            <w:rStyle w:val="Style14"/>
            <w:lang w:val="en-US"/>
          </w:rPr>
          <w:t>essobmr</w:t>
        </w:r>
        <w:r>
          <w:rPr>
            <w:rStyle w:val="Style14"/>
          </w:rPr>
          <w:t>.</w:t>
        </w:r>
        <w:r>
          <w:rPr>
            <w:rStyle w:val="Style14"/>
            <w:lang w:val="en-US"/>
          </w:rPr>
          <w:t>ru</w:t>
        </w:r>
      </w:hyperlink>
      <w:r>
        <w:rPr/>
        <w:t xml:space="preserve">      </w:t>
      </w:r>
      <w:hyperlink r:id="rId4">
        <w:r>
          <w:rPr>
            <w:rStyle w:val="Style14"/>
            <w:sz w:val="24"/>
            <w:szCs w:val="24"/>
          </w:rPr>
          <w:t>admesso@yandex.ru</w:t>
        </w:r>
      </w:hyperlink>
    </w:p>
    <w:p>
      <w:pPr>
        <w:pStyle w:val="Normal"/>
        <w:rPr>
          <w:sz w:val="24"/>
          <w:szCs w:val="24"/>
        </w:rPr>
      </w:pPr>
      <w:r>
        <w:rPr>
          <w:sz w:val="24"/>
          <w:szCs w:val="24"/>
        </w:rPr>
      </w:r>
    </w:p>
    <w:p>
      <w:pPr>
        <w:pStyle w:val="Normal"/>
        <w:rPr>
          <w:sz w:val="28"/>
          <w:szCs w:val="28"/>
        </w:rPr>
      </w:pPr>
      <w:r>
        <w:rPr>
          <w:sz w:val="28"/>
          <w:szCs w:val="28"/>
        </w:rPr>
        <w:t>от 08.11.2017   №381</w:t>
      </w:r>
    </w:p>
    <w:p>
      <w:pPr>
        <w:pStyle w:val="Normal"/>
        <w:rPr>
          <w:sz w:val="28"/>
          <w:szCs w:val="28"/>
        </w:rPr>
      </w:pPr>
      <w:r>
        <w:rPr>
          <w:sz w:val="28"/>
          <w:szCs w:val="28"/>
        </w:rPr>
      </w:r>
    </w:p>
    <w:tbl>
      <w:tblPr>
        <w:tblStyle w:val="12"/>
        <w:tblW w:w="5070" w:type="dxa"/>
        <w:jc w:val="left"/>
        <w:tblInd w:w="0" w:type="dxa"/>
        <w:tblCellMar>
          <w:top w:w="0" w:type="dxa"/>
          <w:left w:w="108" w:type="dxa"/>
          <w:bottom w:w="0" w:type="dxa"/>
          <w:right w:w="108" w:type="dxa"/>
        </w:tblCellMar>
      </w:tblPr>
      <w:tblGrid>
        <w:gridCol w:w="5070"/>
      </w:tblGrid>
      <w:tr>
        <w:trPr/>
        <w:tc>
          <w:tcPr>
            <w:tcW w:w="5070" w:type="dxa"/>
            <w:tcBorders>
              <w:bottom w:val="nil"/>
              <w:insideH w:val="nil"/>
            </w:tcBorders>
            <w:shd w:fill="auto" w:val="clear"/>
            <w:tcMar>
              <w:left w:w="108" w:type="dxa"/>
            </w:tcMar>
          </w:tcPr>
          <w:p>
            <w:pPr>
              <w:pStyle w:val="Normal"/>
              <w:spacing w:lineRule="auto" w:line="240" w:before="0" w:after="0"/>
              <w:rPr>
                <w:sz w:val="28"/>
                <w:szCs w:val="28"/>
              </w:rPr>
            </w:pPr>
            <w:bookmarkStart w:id="0" w:name="__DdeLink__27516_1902333045"/>
            <w:bookmarkStart w:id="1" w:name="_GoBack"/>
            <w:r>
              <w:rPr>
                <w:rFonts w:eastAsia="Times New Roman" w:cs="Times New Roman"/>
                <w:sz w:val="28"/>
                <w:szCs w:val="28"/>
                <w:lang w:eastAsia="ru-RU"/>
              </w:rPr>
              <w:t>Об утверждении Перечня приоритетных рынков и социально значимых рынков</w:t>
            </w:r>
          </w:p>
          <w:p>
            <w:pPr>
              <w:pStyle w:val="Normal"/>
              <w:spacing w:lineRule="auto" w:line="240" w:before="0" w:after="0"/>
              <w:rPr>
                <w:sz w:val="28"/>
                <w:szCs w:val="28"/>
              </w:rPr>
            </w:pPr>
            <w:bookmarkStart w:id="2" w:name="__DdeLink__27516_1902333045"/>
            <w:bookmarkStart w:id="3" w:name="_GoBack"/>
            <w:bookmarkEnd w:id="2"/>
            <w:bookmarkEnd w:id="3"/>
            <w:r>
              <w:rPr>
                <w:rFonts w:eastAsia="Times New Roman" w:cs="Times New Roman"/>
                <w:sz w:val="28"/>
                <w:szCs w:val="28"/>
                <w:lang w:eastAsia="ru-RU"/>
              </w:rPr>
              <w:t>для содействия развитию конкуренции в Быстринском муниципальном районе и Плана мероприятий (дорожной карты) по содействию развитию конкуренции в Быстринском муниципальном районе на 2017-2019 годы</w:t>
            </w:r>
          </w:p>
        </w:tc>
      </w:tr>
    </w:tbl>
    <w:p>
      <w:pPr>
        <w:pStyle w:val="Normal"/>
        <w:rPr>
          <w:sz w:val="24"/>
          <w:szCs w:val="24"/>
        </w:rPr>
      </w:pPr>
      <w:r>
        <w:rPr>
          <w:sz w:val="24"/>
          <w:szCs w:val="24"/>
        </w:rPr>
      </w:r>
    </w:p>
    <w:p>
      <w:pPr>
        <w:pStyle w:val="Normal"/>
        <w:ind w:firstLine="708"/>
        <w:jc w:val="both"/>
        <w:rPr>
          <w:rFonts w:ascii="Arial" w:hAnsi="Arial" w:cs="Arial"/>
          <w:color w:val="282828"/>
          <w:sz w:val="21"/>
          <w:szCs w:val="21"/>
        </w:rPr>
      </w:pPr>
      <w:r>
        <w:rPr>
          <w:rFonts w:cs="Arial" w:ascii="Arial" w:hAnsi="Arial"/>
          <w:color w:val="282828"/>
          <w:sz w:val="21"/>
          <w:szCs w:val="21"/>
        </w:rPr>
      </w:r>
    </w:p>
    <w:p>
      <w:pPr>
        <w:pStyle w:val="Normal"/>
        <w:ind w:firstLine="708"/>
        <w:jc w:val="both"/>
        <w:rPr>
          <w:sz w:val="28"/>
          <w:szCs w:val="28"/>
        </w:rPr>
      </w:pPr>
      <w:r>
        <w:rPr>
          <w:color w:val="282828"/>
          <w:sz w:val="28"/>
          <w:szCs w:val="28"/>
        </w:rPr>
        <w:t>В соответствии с распоряжениями Правительства Российской Федерации от 5 сентября 2015 № 1738-р «Об утверждении стандарта развития конкуренции в субъектах Российской Федерации, </w:t>
      </w:r>
      <w:r>
        <w:rPr>
          <w:sz w:val="28"/>
          <w:szCs w:val="28"/>
        </w:rPr>
        <w:t>руководствуясь  частью 10 статьи 36.1 Устава Быстринского муниципального района,</w:t>
      </w:r>
    </w:p>
    <w:p>
      <w:pPr>
        <w:pStyle w:val="Normal"/>
        <w:jc w:val="both"/>
        <w:rPr/>
      </w:pPr>
      <w:r>
        <w:rPr>
          <w:sz w:val="28"/>
          <w:szCs w:val="28"/>
        </w:rPr>
        <w:t>ПОСТАНОВЛЯЮ</w:t>
      </w:r>
      <w:r>
        <w:rPr>
          <w:color w:val="282828"/>
          <w:sz w:val="28"/>
          <w:szCs w:val="28"/>
        </w:rPr>
        <w:tab/>
      </w:r>
    </w:p>
    <w:p>
      <w:pPr>
        <w:pStyle w:val="Normal"/>
        <w:jc w:val="both"/>
        <w:rPr/>
      </w:pPr>
      <w:r>
        <w:rPr>
          <w:color w:val="282828"/>
          <w:sz w:val="28"/>
          <w:szCs w:val="28"/>
        </w:rPr>
        <w:t>Утвердить :</w:t>
      </w:r>
    </w:p>
    <w:p>
      <w:pPr>
        <w:pStyle w:val="Normal"/>
        <w:ind w:firstLine="708"/>
        <w:jc w:val="both"/>
        <w:rPr/>
      </w:pPr>
      <w:r>
        <w:rPr>
          <w:color w:val="282828"/>
          <w:sz w:val="28"/>
          <w:szCs w:val="28"/>
        </w:rPr>
        <w:t>1. Перечень приоритетных и социально значимых рынков для содействия развитию конкуренции в Быстринском  муниципальном районе (согласно Приложению 1).</w:t>
      </w:r>
    </w:p>
    <w:p>
      <w:pPr>
        <w:pStyle w:val="Normal"/>
        <w:ind w:firstLine="708"/>
        <w:jc w:val="both"/>
        <w:rPr>
          <w:color w:val="282828"/>
          <w:sz w:val="28"/>
          <w:szCs w:val="28"/>
        </w:rPr>
      </w:pPr>
      <w:r>
        <w:rPr>
          <w:color w:val="282828"/>
          <w:sz w:val="28"/>
          <w:szCs w:val="28"/>
        </w:rPr>
        <w:t>2.План мероприятий («дорожную карту») по содействию развитию конкуренции  в  Быстринском  муниципальном районе на 2017-2019 г. (согласно Приложению 2).</w:t>
      </w:r>
    </w:p>
    <w:p>
      <w:pPr>
        <w:pStyle w:val="Normal"/>
        <w:tabs>
          <w:tab w:val="left" w:pos="0" w:leader="none"/>
        </w:tabs>
        <w:spacing w:lineRule="auto" w:line="276"/>
        <w:ind w:firstLine="360"/>
        <w:jc w:val="both"/>
        <w:rPr>
          <w:sz w:val="28"/>
          <w:szCs w:val="28"/>
        </w:rPr>
      </w:pPr>
      <w:r>
        <w:rPr>
          <w:sz w:val="28"/>
          <w:szCs w:val="28"/>
        </w:rPr>
        <w:tab/>
        <w:t>3 Настоящее постановление вступает в силу после его официального  обнародования и подлежит размещению на официальном сайте администрации Быстринского муниципального района.</w:t>
      </w:r>
    </w:p>
    <w:p>
      <w:pPr>
        <w:pStyle w:val="ListParagraph"/>
        <w:ind w:left="0" w:firstLine="349"/>
        <w:jc w:val="both"/>
        <w:rPr>
          <w:sz w:val="28"/>
          <w:szCs w:val="28"/>
        </w:rPr>
      </w:pPr>
      <w:r>
        <w:rPr>
          <w:sz w:val="28"/>
          <w:szCs w:val="28"/>
        </w:rPr>
        <w:t xml:space="preserve"> </w:t>
      </w:r>
    </w:p>
    <w:p>
      <w:pPr>
        <w:pStyle w:val="Normal"/>
        <w:jc w:val="both"/>
        <w:rPr>
          <w:sz w:val="28"/>
          <w:szCs w:val="28"/>
        </w:rPr>
      </w:pPr>
      <w:r>
        <w:rPr>
          <w:sz w:val="28"/>
          <w:szCs w:val="28"/>
        </w:rPr>
        <w:t xml:space="preserve">Временно исполняющий обязанности </w:t>
      </w:r>
    </w:p>
    <w:p>
      <w:pPr>
        <w:pStyle w:val="Normal"/>
        <w:jc w:val="both"/>
        <w:rPr>
          <w:sz w:val="28"/>
          <w:szCs w:val="28"/>
        </w:rPr>
      </w:pPr>
      <w:r>
        <w:rPr>
          <w:sz w:val="28"/>
          <w:szCs w:val="28"/>
        </w:rPr>
        <w:t xml:space="preserve">главы администрации </w:t>
      </w:r>
    </w:p>
    <w:p>
      <w:pPr>
        <w:pStyle w:val="Normal"/>
        <w:jc w:val="both"/>
        <w:rPr/>
      </w:pPr>
      <w:r>
        <w:rPr>
          <w:sz w:val="28"/>
          <w:szCs w:val="28"/>
        </w:rPr>
        <w:t>Быстринского муниципального района</w:t>
        <w:tab/>
        <w:tab/>
        <w:tab/>
        <w:tab/>
        <w:t xml:space="preserve">А.Б.Сметанин ______________________________________________________________ </w:t>
      </w:r>
      <w:r>
        <w:rPr/>
        <w:t>Разослано: дело , биб-ка с.Эссо, с.Анавгай, Банаканова В.И., Корыстова В.Н., Прокина А.В., Комарова С.В.</w:t>
      </w:r>
    </w:p>
    <w:p>
      <w:pPr>
        <w:pStyle w:val="Normal"/>
        <w:rPr>
          <w:sz w:val="24"/>
          <w:szCs w:val="24"/>
        </w:rPr>
      </w:pPr>
      <w:r>
        <w:rPr>
          <w:sz w:val="24"/>
          <w:szCs w:val="24"/>
        </w:rPr>
        <w:tab/>
        <w:tab/>
        <w:tab/>
        <w:tab/>
        <w:tab/>
        <w:tab/>
        <w:tab/>
        <w:t>Приложение 1</w:t>
      </w:r>
    </w:p>
    <w:p>
      <w:pPr>
        <w:pStyle w:val="Normal"/>
        <w:rPr>
          <w:sz w:val="24"/>
          <w:szCs w:val="24"/>
        </w:rPr>
      </w:pPr>
      <w:r>
        <w:rPr>
          <w:sz w:val="24"/>
          <w:szCs w:val="24"/>
        </w:rPr>
        <w:tab/>
        <w:tab/>
        <w:tab/>
        <w:tab/>
        <w:tab/>
        <w:tab/>
        <w:tab/>
        <w:t>к постановлению администрации</w:t>
      </w:r>
    </w:p>
    <w:p>
      <w:pPr>
        <w:pStyle w:val="Normal"/>
        <w:rPr>
          <w:sz w:val="24"/>
          <w:szCs w:val="24"/>
        </w:rPr>
      </w:pPr>
      <w:r>
        <w:rPr>
          <w:sz w:val="24"/>
          <w:szCs w:val="24"/>
        </w:rPr>
        <w:tab/>
        <w:tab/>
        <w:tab/>
        <w:tab/>
        <w:tab/>
        <w:tab/>
        <w:tab/>
        <w:t>Быстринского муниципального района</w:t>
      </w:r>
    </w:p>
    <w:p>
      <w:pPr>
        <w:pStyle w:val="Normal"/>
        <w:rPr>
          <w:sz w:val="24"/>
          <w:szCs w:val="24"/>
        </w:rPr>
      </w:pPr>
      <w:r>
        <w:rPr>
          <w:sz w:val="24"/>
          <w:szCs w:val="24"/>
        </w:rPr>
        <w:tab/>
        <w:tab/>
        <w:tab/>
        <w:tab/>
        <w:tab/>
        <w:tab/>
        <w:tab/>
        <w:t>От 08.11.2017  № 381</w:t>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8"/>
          <w:szCs w:val="28"/>
        </w:rPr>
      </w:pPr>
      <w:r>
        <w:rPr>
          <w:sz w:val="28"/>
          <w:szCs w:val="28"/>
        </w:rPr>
        <w:t>Перечень</w:t>
      </w:r>
    </w:p>
    <w:p>
      <w:pPr>
        <w:pStyle w:val="NormalWeb"/>
        <w:jc w:val="center"/>
        <w:rPr>
          <w:color w:val="282828"/>
          <w:sz w:val="28"/>
          <w:szCs w:val="28"/>
        </w:rPr>
      </w:pPr>
      <w:r>
        <w:rPr>
          <w:color w:val="282828"/>
          <w:sz w:val="28"/>
          <w:szCs w:val="28"/>
        </w:rPr>
        <w:t>социально значимых и приоритетных  рынков для содействия развитию конкуренции в Быстринском  муниципальном районе</w:t>
      </w:r>
    </w:p>
    <w:p>
      <w:pPr>
        <w:pStyle w:val="Normal"/>
        <w:rPr>
          <w:sz w:val="24"/>
          <w:szCs w:val="24"/>
        </w:rPr>
      </w:pPr>
      <w:r>
        <w:rPr>
          <w:sz w:val="24"/>
          <w:szCs w:val="24"/>
        </w:rPr>
      </w:r>
    </w:p>
    <w:tbl>
      <w:tblPr>
        <w:tblStyle w:val="12"/>
        <w:tblW w:w="9570" w:type="dxa"/>
        <w:jc w:val="left"/>
        <w:tblInd w:w="0" w:type="dxa"/>
        <w:tblCellMar>
          <w:top w:w="0" w:type="dxa"/>
          <w:left w:w="108" w:type="dxa"/>
          <w:bottom w:w="0" w:type="dxa"/>
          <w:right w:w="108" w:type="dxa"/>
        </w:tblCellMar>
      </w:tblPr>
      <w:tblGrid>
        <w:gridCol w:w="1100"/>
        <w:gridCol w:w="4251"/>
        <w:gridCol w:w="4219"/>
      </w:tblGrid>
      <w:tr>
        <w:trPr/>
        <w:tc>
          <w:tcPr>
            <w:tcW w:w="1100"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w:t>
            </w:r>
          </w:p>
        </w:tc>
        <w:tc>
          <w:tcPr>
            <w:tcW w:w="4251"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Наименование рынков</w:t>
            </w:r>
          </w:p>
        </w:tc>
        <w:tc>
          <w:tcPr>
            <w:tcW w:w="4219"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Наименование исполнителей</w:t>
            </w:r>
          </w:p>
        </w:tc>
      </w:tr>
      <w:tr>
        <w:trPr/>
        <w:tc>
          <w:tcPr>
            <w:tcW w:w="1100" w:type="dxa"/>
            <w:tcBorders/>
            <w:shd w:fill="auto" w:val="clear"/>
            <w:tcMar>
              <w:left w:w="108" w:type="dxa"/>
            </w:tcMar>
          </w:tcPr>
          <w:p>
            <w:pPr>
              <w:pStyle w:val="NormalWeb"/>
              <w:spacing w:lineRule="auto" w:line="240" w:before="280" w:after="0"/>
              <w:rPr>
                <w:rFonts w:ascii="Times New Roman" w:hAnsi="Times New Roman" w:eastAsia="Times New Roman" w:cs="Times New Roman"/>
                <w:color w:val="282828"/>
                <w:szCs w:val="20"/>
                <w:lang w:eastAsia="ru-RU"/>
              </w:rPr>
            </w:pPr>
            <w:r>
              <w:rPr>
                <w:rFonts w:eastAsia="Times New Roman" w:cs="Times New Roman"/>
                <w:color w:val="282828"/>
                <w:szCs w:val="20"/>
                <w:lang w:eastAsia="ru-RU"/>
              </w:rPr>
            </w:r>
          </w:p>
        </w:tc>
        <w:tc>
          <w:tcPr>
            <w:tcW w:w="4251"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Социально значимые рынки</w:t>
            </w:r>
          </w:p>
        </w:tc>
        <w:tc>
          <w:tcPr>
            <w:tcW w:w="4219" w:type="dxa"/>
            <w:tcBorders/>
            <w:shd w:fill="auto" w:val="clear"/>
            <w:tcMar>
              <w:left w:w="108" w:type="dxa"/>
            </w:tcMar>
          </w:tcPr>
          <w:p>
            <w:pPr>
              <w:pStyle w:val="NormalWeb"/>
              <w:spacing w:lineRule="auto" w:line="240" w:before="280" w:after="0"/>
              <w:rPr>
                <w:rFonts w:ascii="Times New Roman" w:hAnsi="Times New Roman" w:eastAsia="Times New Roman" w:cs="Times New Roman"/>
                <w:color w:val="282828"/>
                <w:szCs w:val="20"/>
                <w:lang w:eastAsia="ru-RU"/>
              </w:rPr>
            </w:pPr>
            <w:r>
              <w:rPr>
                <w:rFonts w:eastAsia="Times New Roman" w:cs="Times New Roman"/>
                <w:color w:val="282828"/>
                <w:szCs w:val="20"/>
                <w:lang w:eastAsia="ru-RU"/>
              </w:rPr>
            </w:r>
          </w:p>
        </w:tc>
      </w:tr>
      <w:tr>
        <w:trPr/>
        <w:tc>
          <w:tcPr>
            <w:tcW w:w="1100"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1</w:t>
            </w:r>
          </w:p>
        </w:tc>
        <w:tc>
          <w:tcPr>
            <w:tcW w:w="4251"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Рынок услуг детского отдыха и оздоровления</w:t>
            </w:r>
          </w:p>
        </w:tc>
        <w:tc>
          <w:tcPr>
            <w:tcW w:w="4219" w:type="dxa"/>
            <w:tcBorders/>
            <w:shd w:fill="auto" w:val="clear"/>
            <w:tcMar>
              <w:left w:w="108" w:type="dxa"/>
            </w:tcMar>
          </w:tcPr>
          <w:p>
            <w:pPr>
              <w:pStyle w:val="NormalWeb"/>
              <w:spacing w:lineRule="auto" w:line="240" w:before="280" w:after="0"/>
              <w:rPr>
                <w:color w:val="282828"/>
              </w:rPr>
            </w:pPr>
            <w:r>
              <w:rPr>
                <w:rFonts w:eastAsia="Times New Roman" w:cs="Times New Roman"/>
                <w:szCs w:val="20"/>
                <w:lang w:eastAsia="ru-RU"/>
              </w:rPr>
              <w:t>отдел образования и социальной защиты населения администрации Быстринского муниципального района</w:t>
            </w:r>
          </w:p>
        </w:tc>
      </w:tr>
      <w:tr>
        <w:trPr/>
        <w:tc>
          <w:tcPr>
            <w:tcW w:w="1100"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2</w:t>
            </w:r>
          </w:p>
        </w:tc>
        <w:tc>
          <w:tcPr>
            <w:tcW w:w="4251"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Рынок услуг дополнительного образования детей</w:t>
            </w:r>
          </w:p>
        </w:tc>
        <w:tc>
          <w:tcPr>
            <w:tcW w:w="4219" w:type="dxa"/>
            <w:tcBorders/>
            <w:shd w:fill="auto" w:val="clear"/>
            <w:tcMar>
              <w:left w:w="108" w:type="dxa"/>
            </w:tcMar>
          </w:tcPr>
          <w:p>
            <w:pPr>
              <w:pStyle w:val="NormalWeb"/>
              <w:spacing w:lineRule="auto" w:line="240" w:before="280" w:after="0"/>
              <w:rPr>
                <w:color w:val="282828"/>
              </w:rPr>
            </w:pPr>
            <w:r>
              <w:rPr>
                <w:rFonts w:eastAsia="Times New Roman" w:cs="Times New Roman"/>
                <w:szCs w:val="20"/>
                <w:lang w:eastAsia="ru-RU"/>
              </w:rPr>
              <w:t>отдел образования и социальной защиты населения администрации Быстринского муниципального района</w:t>
            </w:r>
          </w:p>
        </w:tc>
      </w:tr>
      <w:tr>
        <w:trPr/>
        <w:tc>
          <w:tcPr>
            <w:tcW w:w="1100"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3</w:t>
            </w:r>
          </w:p>
        </w:tc>
        <w:tc>
          <w:tcPr>
            <w:tcW w:w="4251"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Рынок услуг в сфере строительства</w:t>
            </w:r>
          </w:p>
        </w:tc>
        <w:tc>
          <w:tcPr>
            <w:tcW w:w="4219" w:type="dxa"/>
            <w:tcBorders/>
            <w:shd w:fill="auto" w:val="clear"/>
            <w:tcMar>
              <w:left w:w="108" w:type="dxa"/>
            </w:tcMar>
          </w:tcPr>
          <w:p>
            <w:pPr>
              <w:pStyle w:val="NormalWeb"/>
              <w:spacing w:lineRule="auto" w:line="240" w:before="280" w:after="0"/>
              <w:rPr>
                <w:color w:val="282828"/>
              </w:rPr>
            </w:pPr>
            <w:r>
              <w:rPr>
                <w:rFonts w:eastAsia="Times New Roman" w:cs="Times New Roman"/>
                <w:szCs w:val="20"/>
                <w:lang w:eastAsia="ru-RU"/>
              </w:rPr>
              <w:t>отдел по строительству и архитектуре администрации Быстринского муниципального района</w:t>
            </w:r>
          </w:p>
        </w:tc>
      </w:tr>
      <w:tr>
        <w:trPr/>
        <w:tc>
          <w:tcPr>
            <w:tcW w:w="1100"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4</w:t>
            </w:r>
          </w:p>
        </w:tc>
        <w:tc>
          <w:tcPr>
            <w:tcW w:w="4251"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Рынок услуг жилищно-коммунального хозяйства</w:t>
            </w:r>
          </w:p>
        </w:tc>
        <w:tc>
          <w:tcPr>
            <w:tcW w:w="4219" w:type="dxa"/>
            <w:tcBorders/>
            <w:shd w:fill="auto" w:val="clear"/>
            <w:tcMar>
              <w:left w:w="108" w:type="dxa"/>
            </w:tcMar>
          </w:tcPr>
          <w:p>
            <w:pPr>
              <w:pStyle w:val="NormalWeb"/>
              <w:spacing w:lineRule="auto" w:line="240" w:before="280" w:after="0"/>
              <w:rPr>
                <w:color w:val="282828"/>
              </w:rPr>
            </w:pPr>
            <w:r>
              <w:rPr>
                <w:rFonts w:eastAsia="Times New Roman" w:cs="Times New Roman"/>
                <w:szCs w:val="20"/>
                <w:lang w:eastAsia="ru-RU"/>
              </w:rPr>
              <w:t>отдел по жилищно-коммунальному  хозяйству и работе с населением администрации Быстринского муниципального района</w:t>
            </w:r>
          </w:p>
        </w:tc>
      </w:tr>
      <w:tr>
        <w:trPr/>
        <w:tc>
          <w:tcPr>
            <w:tcW w:w="1100" w:type="dxa"/>
            <w:tcBorders/>
            <w:shd w:fill="auto" w:val="clear"/>
            <w:tcMar>
              <w:left w:w="108" w:type="dxa"/>
            </w:tcMar>
          </w:tcPr>
          <w:p>
            <w:pPr>
              <w:pStyle w:val="NormalWeb"/>
              <w:spacing w:lineRule="auto" w:line="240" w:before="280" w:after="0"/>
              <w:rPr>
                <w:rFonts w:ascii="Times New Roman" w:hAnsi="Times New Roman" w:eastAsia="Times New Roman" w:cs="Times New Roman"/>
                <w:color w:val="282828"/>
                <w:szCs w:val="20"/>
                <w:lang w:eastAsia="ru-RU"/>
              </w:rPr>
            </w:pPr>
            <w:r>
              <w:rPr>
                <w:rFonts w:eastAsia="Times New Roman" w:cs="Times New Roman"/>
                <w:color w:val="282828"/>
                <w:szCs w:val="20"/>
                <w:lang w:eastAsia="ru-RU"/>
              </w:rPr>
            </w:r>
          </w:p>
        </w:tc>
        <w:tc>
          <w:tcPr>
            <w:tcW w:w="4251" w:type="dxa"/>
            <w:tcBorders/>
            <w:shd w:fill="auto" w:val="clear"/>
            <w:tcMar>
              <w:left w:w="108" w:type="dxa"/>
            </w:tcMar>
          </w:tcPr>
          <w:p>
            <w:pPr>
              <w:pStyle w:val="NormalWeb"/>
              <w:spacing w:lineRule="auto" w:line="240" w:before="280" w:after="0"/>
              <w:rPr>
                <w:color w:val="282828"/>
              </w:rPr>
            </w:pPr>
            <w:r>
              <w:rPr>
                <w:rStyle w:val="Strong"/>
                <w:rFonts w:eastAsia="Times New Roman" w:cs="Times New Roman"/>
                <w:b w:val="false"/>
                <w:color w:val="282828"/>
                <w:szCs w:val="20"/>
                <w:lang w:eastAsia="ru-RU"/>
              </w:rPr>
              <w:t>Приоритетные рынки</w:t>
            </w:r>
          </w:p>
        </w:tc>
        <w:tc>
          <w:tcPr>
            <w:tcW w:w="4219" w:type="dxa"/>
            <w:tcBorders/>
            <w:shd w:fill="auto" w:val="clear"/>
            <w:tcMar>
              <w:left w:w="108" w:type="dxa"/>
            </w:tcMar>
          </w:tcPr>
          <w:p>
            <w:pPr>
              <w:pStyle w:val="NormalWeb"/>
              <w:spacing w:lineRule="auto" w:line="240" w:before="280" w:after="0"/>
              <w:rPr>
                <w:rFonts w:ascii="Times New Roman" w:hAnsi="Times New Roman" w:eastAsia="Times New Roman" w:cs="Times New Roman"/>
                <w:color w:val="282828"/>
                <w:szCs w:val="20"/>
                <w:lang w:eastAsia="ru-RU"/>
              </w:rPr>
            </w:pPr>
            <w:r>
              <w:rPr>
                <w:rFonts w:eastAsia="Times New Roman" w:cs="Times New Roman"/>
                <w:color w:val="282828"/>
                <w:szCs w:val="20"/>
                <w:lang w:eastAsia="ru-RU"/>
              </w:rPr>
            </w:r>
          </w:p>
        </w:tc>
      </w:tr>
      <w:tr>
        <w:trPr/>
        <w:tc>
          <w:tcPr>
            <w:tcW w:w="1100"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1</w:t>
            </w:r>
          </w:p>
        </w:tc>
        <w:tc>
          <w:tcPr>
            <w:tcW w:w="4251" w:type="dxa"/>
            <w:tcBorders/>
            <w:shd w:fill="auto" w:val="clear"/>
            <w:tcMar>
              <w:left w:w="108" w:type="dxa"/>
            </w:tcMar>
          </w:tcPr>
          <w:p>
            <w:pPr>
              <w:pStyle w:val="NormalWeb"/>
              <w:spacing w:lineRule="auto" w:line="240" w:before="280" w:after="0"/>
              <w:rPr>
                <w:rStyle w:val="Strong"/>
                <w:b w:val="false"/>
                <w:b w:val="false"/>
                <w:color w:val="282828"/>
              </w:rPr>
            </w:pPr>
            <w:r>
              <w:rPr>
                <w:rStyle w:val="Strong"/>
                <w:rFonts w:eastAsia="Times New Roman" w:cs="Times New Roman"/>
                <w:b w:val="false"/>
                <w:color w:val="282828"/>
                <w:szCs w:val="20"/>
                <w:lang w:eastAsia="ru-RU"/>
              </w:rPr>
              <w:t>Рынок бытового обслуживания</w:t>
            </w:r>
          </w:p>
        </w:tc>
        <w:tc>
          <w:tcPr>
            <w:tcW w:w="4219"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 xml:space="preserve">Советник по сельскому хозяйству, экономике и предпринимательству </w:t>
            </w:r>
            <w:r>
              <w:rPr>
                <w:rFonts w:eastAsia="Times New Roman" w:cs="Times New Roman"/>
                <w:szCs w:val="20"/>
                <w:lang w:eastAsia="ru-RU"/>
              </w:rPr>
              <w:t>администрации Быстринского муниципального района</w:t>
            </w:r>
          </w:p>
        </w:tc>
      </w:tr>
      <w:tr>
        <w:trPr/>
        <w:tc>
          <w:tcPr>
            <w:tcW w:w="1100"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2</w:t>
            </w:r>
          </w:p>
        </w:tc>
        <w:tc>
          <w:tcPr>
            <w:tcW w:w="4251" w:type="dxa"/>
            <w:tcBorders/>
            <w:shd w:fill="auto" w:val="clear"/>
            <w:tcMar>
              <w:left w:w="108" w:type="dxa"/>
            </w:tcMar>
          </w:tcPr>
          <w:p>
            <w:pPr>
              <w:pStyle w:val="NormalWeb"/>
              <w:spacing w:lineRule="auto" w:line="240" w:before="280" w:after="0"/>
              <w:rPr>
                <w:rStyle w:val="Strong"/>
                <w:b w:val="false"/>
                <w:b w:val="false"/>
                <w:color w:val="282828"/>
              </w:rPr>
            </w:pPr>
            <w:r>
              <w:rPr>
                <w:rStyle w:val="Strong"/>
                <w:rFonts w:eastAsia="Times New Roman" w:cs="Times New Roman"/>
                <w:b w:val="false"/>
                <w:color w:val="282828"/>
                <w:szCs w:val="20"/>
                <w:lang w:eastAsia="ru-RU"/>
              </w:rPr>
              <w:t>Рынок  развития сельского хозяйства</w:t>
            </w:r>
          </w:p>
        </w:tc>
        <w:tc>
          <w:tcPr>
            <w:tcW w:w="4219"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 xml:space="preserve">Советник по сельскому хозяйству, экономике и предпринимательству </w:t>
            </w:r>
            <w:r>
              <w:rPr>
                <w:rFonts w:eastAsia="Times New Roman" w:cs="Times New Roman"/>
                <w:szCs w:val="20"/>
                <w:lang w:eastAsia="ru-RU"/>
              </w:rPr>
              <w:t>администрации Быстринского муниципального района</w:t>
            </w:r>
          </w:p>
        </w:tc>
      </w:tr>
      <w:tr>
        <w:trPr/>
        <w:tc>
          <w:tcPr>
            <w:tcW w:w="1100" w:type="dxa"/>
            <w:tcBorders/>
            <w:shd w:fill="auto" w:val="clear"/>
            <w:tcMar>
              <w:left w:w="108" w:type="dxa"/>
            </w:tcMar>
          </w:tcPr>
          <w:p>
            <w:pPr>
              <w:pStyle w:val="NormalWeb"/>
              <w:spacing w:lineRule="auto" w:line="240" w:before="280" w:after="0"/>
              <w:rPr>
                <w:color w:val="282828"/>
              </w:rPr>
            </w:pPr>
            <w:r>
              <w:rPr>
                <w:rFonts w:eastAsia="Times New Roman" w:cs="Times New Roman"/>
                <w:color w:val="282828"/>
                <w:szCs w:val="20"/>
                <w:lang w:eastAsia="ru-RU"/>
              </w:rPr>
              <w:t>3</w:t>
            </w:r>
          </w:p>
        </w:tc>
        <w:tc>
          <w:tcPr>
            <w:tcW w:w="4251" w:type="dxa"/>
            <w:tcBorders/>
            <w:shd w:fill="auto" w:val="clear"/>
            <w:tcMar>
              <w:left w:w="108" w:type="dxa"/>
            </w:tcMar>
          </w:tcPr>
          <w:p>
            <w:pPr>
              <w:pStyle w:val="NormalWeb"/>
              <w:spacing w:lineRule="auto" w:line="240" w:before="280" w:after="0"/>
              <w:rPr>
                <w:rStyle w:val="Strong"/>
                <w:b w:val="false"/>
                <w:b w:val="false"/>
                <w:color w:val="282828"/>
              </w:rPr>
            </w:pPr>
            <w:r>
              <w:rPr>
                <w:rStyle w:val="Strong"/>
                <w:rFonts w:eastAsia="Times New Roman" w:cs="Times New Roman"/>
                <w:b w:val="false"/>
                <w:color w:val="282828"/>
                <w:szCs w:val="20"/>
                <w:lang w:eastAsia="ru-RU"/>
              </w:rPr>
              <w:t>Рынок туристических услуг</w:t>
            </w:r>
          </w:p>
        </w:tc>
        <w:tc>
          <w:tcPr>
            <w:tcW w:w="4219" w:type="dxa"/>
            <w:tcBorders/>
            <w:shd w:fill="auto" w:val="clear"/>
            <w:tcMar>
              <w:left w:w="108" w:type="dxa"/>
            </w:tcMar>
          </w:tcPr>
          <w:p>
            <w:pPr>
              <w:pStyle w:val="NormalWeb"/>
              <w:spacing w:lineRule="auto" w:line="240" w:before="280" w:after="0"/>
              <w:rPr>
                <w:rFonts w:ascii="Times New Roman" w:hAnsi="Times New Roman" w:eastAsia="Times New Roman" w:cs="Times New Roman"/>
                <w:szCs w:val="20"/>
                <w:lang w:eastAsia="ru-RU"/>
              </w:rPr>
            </w:pPr>
            <w:r>
              <w:rPr>
                <w:rFonts w:eastAsia="Times New Roman" w:cs="Times New Roman"/>
                <w:color w:val="282828"/>
                <w:szCs w:val="20"/>
                <w:lang w:eastAsia="ru-RU"/>
              </w:rPr>
              <w:t xml:space="preserve">Советник по КМНС, межнациональным и религиозным, культуре и туризма </w:t>
            </w:r>
            <w:r>
              <w:rPr>
                <w:rFonts w:eastAsia="Times New Roman" w:cs="Times New Roman"/>
                <w:szCs w:val="20"/>
                <w:lang w:eastAsia="ru-RU"/>
              </w:rPr>
              <w:t>администрации Быстринского муниципального района</w:t>
            </w:r>
          </w:p>
        </w:tc>
      </w:tr>
    </w:tbl>
    <w:p>
      <w:pPr>
        <w:pStyle w:val="Normal"/>
        <w:rPr>
          <w:color w:val="282828"/>
          <w:sz w:val="24"/>
          <w:szCs w:val="24"/>
        </w:rPr>
      </w:pPr>
      <w:r>
        <w:rPr/>
      </w:r>
      <w:r>
        <w:br w:type="page"/>
      </w:r>
    </w:p>
    <w:p>
      <w:pPr>
        <w:pStyle w:val="Normal"/>
        <w:widowControl/>
        <w:bidi w:val="0"/>
        <w:spacing w:lineRule="auto" w:line="240" w:before="0" w:after="0"/>
        <w:ind w:left="4989" w:right="0" w:hanging="0"/>
        <w:jc w:val="left"/>
        <w:rPr/>
      </w:pPr>
      <w:r>
        <w:rPr>
          <w:sz w:val="24"/>
          <w:szCs w:val="24"/>
        </w:rPr>
        <w:t>Приложение 2</w:t>
      </w:r>
    </w:p>
    <w:p>
      <w:pPr>
        <w:pStyle w:val="Normal"/>
        <w:rPr>
          <w:sz w:val="24"/>
          <w:szCs w:val="24"/>
        </w:rPr>
      </w:pPr>
      <w:r>
        <w:rPr>
          <w:sz w:val="24"/>
          <w:szCs w:val="24"/>
        </w:rPr>
        <w:tab/>
        <w:tab/>
        <w:tab/>
        <w:tab/>
        <w:tab/>
        <w:tab/>
        <w:tab/>
        <w:t>к постановлению администрации</w:t>
      </w:r>
    </w:p>
    <w:p>
      <w:pPr>
        <w:pStyle w:val="Normal"/>
        <w:rPr>
          <w:sz w:val="24"/>
          <w:szCs w:val="24"/>
        </w:rPr>
      </w:pPr>
      <w:r>
        <w:rPr>
          <w:sz w:val="24"/>
          <w:szCs w:val="24"/>
        </w:rPr>
        <w:tab/>
        <w:tab/>
        <w:tab/>
        <w:tab/>
        <w:tab/>
        <w:tab/>
        <w:tab/>
        <w:t>Быстринского муниципального района</w:t>
      </w:r>
    </w:p>
    <w:p>
      <w:pPr>
        <w:pStyle w:val="Normal"/>
        <w:rPr/>
      </w:pPr>
      <w:r>
        <w:rPr>
          <w:sz w:val="24"/>
          <w:szCs w:val="24"/>
        </w:rPr>
        <w:tab/>
        <w:tab/>
        <w:tab/>
        <w:tab/>
        <w:tab/>
        <w:tab/>
        <w:tab/>
        <w:t>от 08.11.2017 № 381</w:t>
      </w:r>
    </w:p>
    <w:p>
      <w:pPr>
        <w:pStyle w:val="ConsPlusNormal"/>
        <w:numPr>
          <w:ilvl w:val="0"/>
          <w:numId w:val="0"/>
        </w:numPr>
        <w:spacing w:lineRule="exact" w:line="24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Web"/>
        <w:jc w:val="center"/>
        <w:rPr>
          <w:color w:val="282828"/>
          <w:sz w:val="28"/>
          <w:szCs w:val="28"/>
        </w:rPr>
      </w:pPr>
      <w:r>
        <w:rPr>
          <w:color w:val="282828"/>
          <w:sz w:val="28"/>
          <w:szCs w:val="28"/>
        </w:rPr>
        <w:t>План мероприятий («дорожная карта») по содействию развитию конкуренции  в  Быстринском  муниципальном районе на 2017-2019 г.».</w:t>
      </w:r>
    </w:p>
    <w:p>
      <w:pPr>
        <w:pStyle w:val="ConsPlusNormal"/>
        <w:numPr>
          <w:ilvl w:val="0"/>
          <w:numId w:val="1"/>
        </w:numPr>
        <w:jc w:val="center"/>
        <w:outlineLvl w:val="1"/>
        <w:rPr>
          <w:rFonts w:ascii="Times New Roman" w:hAnsi="Times New Roman" w:cs="Times New Roman"/>
          <w:sz w:val="28"/>
          <w:szCs w:val="28"/>
          <w:lang w:val="en-US"/>
        </w:rPr>
      </w:pPr>
      <w:r>
        <w:rPr>
          <w:rFonts w:cs="Times New Roman" w:ascii="Times New Roman" w:hAnsi="Times New Roman"/>
          <w:sz w:val="28"/>
          <w:szCs w:val="28"/>
        </w:rPr>
        <w:t>Общие положения</w:t>
      </w:r>
    </w:p>
    <w:p>
      <w:pPr>
        <w:pStyle w:val="ConsPlusNormal"/>
        <w:numPr>
          <w:ilvl w:val="0"/>
          <w:numId w:val="0"/>
        </w:numPr>
        <w:ind w:left="1080" w:hanging="0"/>
        <w:outlineLvl w:val="1"/>
        <w:rPr>
          <w:rFonts w:ascii="Times New Roman" w:hAnsi="Times New Roman" w:cs="Times New Roman"/>
          <w:sz w:val="28"/>
          <w:szCs w:val="28"/>
          <w:lang w:val="en-US"/>
        </w:rPr>
      </w:pPr>
      <w:r>
        <w:rPr>
          <w:rFonts w:cs="Times New Roman" w:ascii="Times New Roman" w:hAnsi="Times New Roman"/>
          <w:sz w:val="28"/>
          <w:szCs w:val="28"/>
          <w:lang w:val="en-US"/>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Поддержка конкуренции гарантируется статьей 8 Конституции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Развитие конкуренции в экономике -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климата, включая развитие финансовой и налоговой системы, снижения административных и инфраструктурных барьеров, до защиты прав граждан и национальной политики.</w:t>
      </w:r>
    </w:p>
    <w:p>
      <w:pPr>
        <w:pStyle w:val="NormalWeb"/>
        <w:ind w:firstLine="708"/>
        <w:jc w:val="both"/>
        <w:rPr>
          <w:sz w:val="28"/>
          <w:szCs w:val="28"/>
        </w:rPr>
      </w:pPr>
      <w:r>
        <w:rPr>
          <w:color w:val="282828"/>
          <w:sz w:val="28"/>
          <w:szCs w:val="28"/>
        </w:rPr>
        <w:t>План мероприятий («дорожная  карта») по содействию развитию конкуренции и в  Быстринском  муниципальном районе на 2017-2019 г.»</w:t>
      </w:r>
      <w:r>
        <w:rPr>
          <w:sz w:val="28"/>
          <w:szCs w:val="28"/>
        </w:rPr>
        <w:t xml:space="preserve"> (далее - «дорожная карта») призван способствовать созданию благоприятных условий для развития конкуренции на территории  Быстринского муниципального района и, как следствие, повышению эффективности экономики и росту качества жизни населения Быстринского  муниципального района.</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Структура «дорожной карты» соответствует структуре плана мероприятий («дорожной  карте»)  «Развитие  конкуренции  в Камчатском крае на 2016-2018 годы», утвержденного распоряжением Правительства Камчатского края от 11 февраля 2016  г. № 71-РП.</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План мероприятий по реализации мер по развитию конкуренции на отдельных рынках (приложение 1 к настоящей «дорожной карте») включает следующие разделы:</w:t>
      </w:r>
    </w:p>
    <w:p>
      <w:pPr>
        <w:pStyle w:val="ConsPlusNormal"/>
        <w:numPr>
          <w:ilvl w:val="0"/>
          <w:numId w:val="0"/>
        </w:numPr>
        <w:ind w:firstLine="708"/>
        <w:jc w:val="both"/>
        <w:outlineLvl w:val="1"/>
        <w:rPr>
          <w:rFonts w:ascii="Times New Roman" w:hAnsi="Times New Roman" w:cs="Times New Roman"/>
          <w:color w:val="282828"/>
          <w:sz w:val="28"/>
          <w:szCs w:val="28"/>
        </w:rPr>
      </w:pPr>
      <w:r>
        <w:rPr>
          <w:rFonts w:cs="Times New Roman" w:ascii="Times New Roman" w:hAnsi="Times New Roman"/>
          <w:color w:val="282828"/>
          <w:sz w:val="28"/>
          <w:szCs w:val="28"/>
        </w:rPr>
        <w:t>Рынок услуг детского отдыха и оздоровления;</w:t>
      </w:r>
    </w:p>
    <w:p>
      <w:pPr>
        <w:pStyle w:val="ConsPlusNormal"/>
        <w:numPr>
          <w:ilvl w:val="0"/>
          <w:numId w:val="0"/>
        </w:numPr>
        <w:ind w:firstLine="708"/>
        <w:jc w:val="both"/>
        <w:outlineLvl w:val="1"/>
        <w:rPr>
          <w:rFonts w:ascii="Times New Roman" w:hAnsi="Times New Roman" w:cs="Times New Roman"/>
          <w:color w:val="282828"/>
          <w:sz w:val="28"/>
          <w:szCs w:val="28"/>
        </w:rPr>
      </w:pPr>
      <w:r>
        <w:rPr>
          <w:rFonts w:cs="Times New Roman" w:ascii="Times New Roman" w:hAnsi="Times New Roman"/>
          <w:color w:val="282828"/>
          <w:sz w:val="28"/>
          <w:szCs w:val="28"/>
        </w:rPr>
        <w:t>Рынок услуг дополнительного образования детей;</w:t>
      </w:r>
    </w:p>
    <w:p>
      <w:pPr>
        <w:pStyle w:val="ConsPlusNormal"/>
        <w:numPr>
          <w:ilvl w:val="0"/>
          <w:numId w:val="0"/>
        </w:numPr>
        <w:ind w:firstLine="708"/>
        <w:jc w:val="both"/>
        <w:outlineLvl w:val="1"/>
        <w:rPr>
          <w:rFonts w:ascii="Times New Roman" w:hAnsi="Times New Roman" w:cs="Times New Roman"/>
          <w:color w:val="282828"/>
          <w:sz w:val="28"/>
          <w:szCs w:val="28"/>
        </w:rPr>
      </w:pPr>
      <w:r>
        <w:rPr>
          <w:rFonts w:cs="Times New Roman" w:ascii="Times New Roman" w:hAnsi="Times New Roman"/>
          <w:color w:val="282828"/>
          <w:sz w:val="28"/>
          <w:szCs w:val="28"/>
        </w:rPr>
        <w:t>Рынок услуг в сфере строительства;</w:t>
      </w:r>
    </w:p>
    <w:p>
      <w:pPr>
        <w:pStyle w:val="ConsPlusNormal"/>
        <w:numPr>
          <w:ilvl w:val="0"/>
          <w:numId w:val="0"/>
        </w:numPr>
        <w:ind w:firstLine="708"/>
        <w:jc w:val="both"/>
        <w:outlineLvl w:val="1"/>
        <w:rPr>
          <w:rFonts w:ascii="Times New Roman" w:hAnsi="Times New Roman" w:cs="Times New Roman"/>
          <w:color w:val="282828"/>
          <w:sz w:val="28"/>
          <w:szCs w:val="28"/>
        </w:rPr>
      </w:pPr>
      <w:r>
        <w:rPr>
          <w:rFonts w:cs="Times New Roman" w:ascii="Times New Roman" w:hAnsi="Times New Roman"/>
          <w:color w:val="282828"/>
          <w:sz w:val="28"/>
          <w:szCs w:val="28"/>
        </w:rPr>
        <w:t>Рынок услуг жилищно-коммунального хозяйства;</w:t>
      </w:r>
    </w:p>
    <w:p>
      <w:pPr>
        <w:pStyle w:val="ConsPlusNormal"/>
        <w:numPr>
          <w:ilvl w:val="0"/>
          <w:numId w:val="0"/>
        </w:numPr>
        <w:ind w:firstLine="708"/>
        <w:jc w:val="both"/>
        <w:outlineLvl w:val="1"/>
        <w:rPr>
          <w:rStyle w:val="Strong"/>
          <w:rFonts w:ascii="Times New Roman" w:hAnsi="Times New Roman" w:cs="Times New Roman"/>
          <w:b w:val="false"/>
          <w:b w:val="false"/>
          <w:color w:val="282828"/>
          <w:sz w:val="28"/>
          <w:szCs w:val="28"/>
        </w:rPr>
      </w:pPr>
      <w:r>
        <w:rPr>
          <w:rStyle w:val="Strong"/>
          <w:rFonts w:cs="Times New Roman" w:ascii="Times New Roman" w:hAnsi="Times New Roman"/>
          <w:b w:val="false"/>
          <w:color w:val="282828"/>
          <w:sz w:val="28"/>
          <w:szCs w:val="28"/>
        </w:rPr>
        <w:t>Рынок бытового обслуживания;</w:t>
      </w:r>
    </w:p>
    <w:p>
      <w:pPr>
        <w:pStyle w:val="ConsPlusNormal"/>
        <w:numPr>
          <w:ilvl w:val="0"/>
          <w:numId w:val="0"/>
        </w:numPr>
        <w:ind w:firstLine="708"/>
        <w:jc w:val="both"/>
        <w:outlineLvl w:val="1"/>
        <w:rPr>
          <w:rFonts w:ascii="Times New Roman" w:hAnsi="Times New Roman" w:cs="Times New Roman"/>
          <w:color w:val="282828"/>
          <w:sz w:val="28"/>
          <w:szCs w:val="28"/>
        </w:rPr>
      </w:pPr>
      <w:r>
        <w:rPr>
          <w:rStyle w:val="Strong"/>
          <w:rFonts w:cs="Times New Roman" w:ascii="Times New Roman" w:hAnsi="Times New Roman"/>
          <w:b w:val="false"/>
          <w:color w:val="282828"/>
          <w:sz w:val="28"/>
          <w:szCs w:val="28"/>
        </w:rPr>
        <w:t>Рынок  развития сельского хозяйства;</w:t>
      </w:r>
    </w:p>
    <w:p>
      <w:pPr>
        <w:pStyle w:val="ConsPlusNormal"/>
        <w:numPr>
          <w:ilvl w:val="0"/>
          <w:numId w:val="0"/>
        </w:numPr>
        <w:ind w:firstLine="708"/>
        <w:jc w:val="both"/>
        <w:outlineLvl w:val="1"/>
        <w:rPr>
          <w:rFonts w:ascii="Times New Roman" w:hAnsi="Times New Roman" w:cs="Times New Roman"/>
          <w:sz w:val="28"/>
          <w:szCs w:val="28"/>
        </w:rPr>
      </w:pPr>
      <w:r>
        <w:rPr>
          <w:rStyle w:val="Strong"/>
          <w:rFonts w:cs="Times New Roman" w:ascii="Times New Roman" w:hAnsi="Times New Roman"/>
          <w:b w:val="false"/>
          <w:color w:val="282828"/>
          <w:sz w:val="28"/>
          <w:szCs w:val="28"/>
        </w:rPr>
        <w:t>Рынок туристических услуг</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В целях создания условий для развития конкуренции, обеспечения реализации системного и единообразного подхода к деятельности по развитию конкуренции на территории Быстринского муниципального района необходима разработка и реализация мер экономического стимулирования развития вышеуказанных приоритетных и социально значимых рынков.</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Реализация «дорожной карты» будет осуществляться в период с 2017 по 2019 год.</w:t>
      </w:r>
    </w:p>
    <w:p>
      <w:pPr>
        <w:pStyle w:val="ConsPlusNormal"/>
        <w:numPr>
          <w:ilvl w:val="0"/>
          <w:numId w:val="0"/>
        </w:numPr>
        <w:ind w:firstLine="708"/>
        <w:jc w:val="both"/>
        <w:outlineLvl w:val="1"/>
        <w:rPr>
          <w:rFonts w:ascii="Times New Roman" w:hAnsi="Times New Roman" w:cs="Times New Roman"/>
          <w:sz w:val="16"/>
          <w:szCs w:val="16"/>
        </w:rPr>
      </w:pPr>
      <w:r>
        <w:rPr>
          <w:rFonts w:cs="Times New Roman" w:ascii="Times New Roman" w:hAnsi="Times New Roman"/>
          <w:sz w:val="16"/>
          <w:szCs w:val="16"/>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II. Основные направления «дорожной карты»</w:t>
      </w:r>
    </w:p>
    <w:p>
      <w:pPr>
        <w:pStyle w:val="ConsPlusNormal"/>
        <w:numPr>
          <w:ilvl w:val="0"/>
          <w:numId w:val="0"/>
        </w:numPr>
        <w:jc w:val="center"/>
        <w:outlineLvl w:val="1"/>
        <w:rPr>
          <w:rFonts w:ascii="Times New Roman" w:hAnsi="Times New Roman" w:cs="Times New Roman"/>
          <w:sz w:val="16"/>
          <w:szCs w:val="16"/>
        </w:rPr>
      </w:pPr>
      <w:r>
        <w:rPr>
          <w:rFonts w:cs="Times New Roman" w:ascii="Times New Roman" w:hAnsi="Times New Roman"/>
          <w:sz w:val="16"/>
          <w:szCs w:val="16"/>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Деятельность органов местного самоуправления и подведомственных учреждений муниципального района в рамках развития конкурентной среды как активной составляющей конкурентной политики должна обеспечить достижение следующих целей:</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1. создание благоприятных условий для развития конкуренции в приоритетных и социально значимых отраслях экономики;</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2. устранение барьеров для создания бизнеса в отраслях экономики;</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3.  рост  уровня  удовлетворенности  населения Быстринского муниципального района качеством предоставляемых услуг в приоритетных и социально значимых отраслях экономики.</w:t>
      </w:r>
    </w:p>
    <w:p>
      <w:pPr>
        <w:pStyle w:val="ConsPlusNormal"/>
        <w:numPr>
          <w:ilvl w:val="0"/>
          <w:numId w:val="0"/>
        </w:numPr>
        <w:ind w:firstLine="708"/>
        <w:jc w:val="both"/>
        <w:outlineLvl w:val="1"/>
        <w:rPr>
          <w:rFonts w:ascii="Times New Roman" w:hAnsi="Times New Roman" w:cs="Times New Roman"/>
          <w:sz w:val="16"/>
          <w:szCs w:val="16"/>
        </w:rPr>
      </w:pPr>
      <w:r>
        <w:rPr>
          <w:rFonts w:cs="Times New Roman" w:ascii="Times New Roman" w:hAnsi="Times New Roman"/>
          <w:sz w:val="16"/>
          <w:szCs w:val="16"/>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III. Ожидаемые результаты от реализации «дорожной карты»</w:t>
      </w:r>
    </w:p>
    <w:p>
      <w:pPr>
        <w:pStyle w:val="ConsPlusNormal"/>
        <w:numPr>
          <w:ilvl w:val="0"/>
          <w:numId w:val="0"/>
        </w:numPr>
        <w:jc w:val="center"/>
        <w:outlineLvl w:val="1"/>
        <w:rPr>
          <w:rFonts w:ascii="Times New Roman" w:hAnsi="Times New Roman" w:cs="Times New Roman"/>
          <w:sz w:val="16"/>
          <w:szCs w:val="16"/>
        </w:rPr>
      </w:pPr>
      <w:r>
        <w:rPr>
          <w:rFonts w:cs="Times New Roman" w:ascii="Times New Roman" w:hAnsi="Times New Roman"/>
          <w:sz w:val="16"/>
          <w:szCs w:val="16"/>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Реализация  деятельности  органов  местного  самоуправления  и подведомственных учреждений муниципального района в рамках «дорожной карты» позволит обеспечить свободную конкуренцию на приоритетных и социально значимых рынках, совершенствовать антимонопольную политику, а также улучшить инвестиционный климат на территории Быстринского муниципального района. Последовательное решение задач по созданию условий для  добросовестной  конкуренции  на  территории Быстринского муниципального района должно обеспечить достижение следующих результатов:</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1. Создание условий для динамичного развития ключевых секторов экономики Быстринского муниципального района.</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2. 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и подведомственных учреждений муниципального района по содействию развитию конкуренции.</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t xml:space="preserve">3. Повышение эффективности функционирования рынков Быстринского  муниципального района. </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6372" w:firstLine="708"/>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eastAsia="Calibri" w:eastAsiaTheme="minorHAnsi"/>
          <w:sz w:val="24"/>
          <w:szCs w:val="24"/>
          <w:lang w:eastAsia="en-US"/>
        </w:rPr>
      </w:pPr>
      <w:r>
        <w:rPr>
          <w:rFonts w:eastAsia="Calibri" w:eastAsiaTheme="minorHAnsi"/>
          <w:sz w:val="24"/>
          <w:szCs w:val="24"/>
          <w:lang w:eastAsia="en-US"/>
        </w:rPr>
        <w:t>План мероприятий</w:t>
      </w:r>
    </w:p>
    <w:p>
      <w:pPr>
        <w:pStyle w:val="Normal"/>
        <w:jc w:val="center"/>
        <w:rPr>
          <w:rFonts w:eastAsia="Calibri" w:eastAsiaTheme="minorHAnsi"/>
          <w:sz w:val="24"/>
          <w:szCs w:val="24"/>
          <w:lang w:eastAsia="en-US"/>
        </w:rPr>
      </w:pPr>
      <w:r>
        <w:rPr>
          <w:rFonts w:eastAsia="Calibri" w:eastAsiaTheme="minorHAnsi"/>
          <w:sz w:val="24"/>
          <w:szCs w:val="24"/>
          <w:lang w:eastAsia="en-US"/>
        </w:rPr>
        <w:t>(«дорожная карта») по содействию развитию конкуренции на территории Быстринского муниципального района на 2017-2019 годы</w:t>
      </w:r>
    </w:p>
    <w:p>
      <w:pPr>
        <w:pStyle w:val="ConsPlusNormal"/>
        <w:numPr>
          <w:ilvl w:val="0"/>
          <w:numId w:val="0"/>
        </w:numPr>
        <w:ind w:firstLine="708"/>
        <w:jc w:val="center"/>
        <w:outlineLvl w:val="1"/>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tbl>
      <w:tblPr>
        <w:tblStyle w:val="12"/>
        <w:tblW w:w="9570" w:type="dxa"/>
        <w:jc w:val="left"/>
        <w:tblInd w:w="0" w:type="dxa"/>
        <w:tblCellMar>
          <w:top w:w="0" w:type="dxa"/>
          <w:left w:w="108" w:type="dxa"/>
          <w:bottom w:w="0" w:type="dxa"/>
          <w:right w:w="108" w:type="dxa"/>
        </w:tblCellMar>
      </w:tblPr>
      <w:tblGrid>
        <w:gridCol w:w="529"/>
        <w:gridCol w:w="1777"/>
        <w:gridCol w:w="1013"/>
        <w:gridCol w:w="1755"/>
        <w:gridCol w:w="1747"/>
        <w:gridCol w:w="977"/>
        <w:gridCol w:w="1771"/>
      </w:tblGrid>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Наименование направления,</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мероприятия</w:t>
            </w:r>
          </w:p>
        </w:tc>
        <w:tc>
          <w:tcPr>
            <w:tcW w:w="1013"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Срок</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реализации</w:t>
            </w:r>
          </w:p>
        </w:tc>
        <w:tc>
          <w:tcPr>
            <w:tcW w:w="1755"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Ответственные</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исполнители,</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соисполнители</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Целевой показатель эффективности реализации мероприятий</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Значение целевого показателя</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Ожидаемый результат</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1</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3</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4</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5</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6</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7</w:t>
            </w:r>
          </w:p>
        </w:tc>
      </w:tr>
      <w:tr>
        <w:trPr/>
        <w:tc>
          <w:tcPr>
            <w:tcW w:w="9569" w:type="dxa"/>
            <w:gridSpan w:val="7"/>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b/>
                <w:bCs/>
                <w:sz w:val="24"/>
                <w:szCs w:val="24"/>
                <w:lang w:eastAsia="en-US"/>
              </w:rPr>
              <w:t>Системные мероприятия по развитию конкурентной среды на территории Быстринского  муниципального района</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1</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Применение конкурентных процедур при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осуществлении закупок товаров, работ 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услуг для обеспечения муниципальных</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нужд Быстринского муниципального района</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Консультант по муниципальным заказам администрации Быстринского муниципального района</w:t>
            </w:r>
          </w:p>
        </w:tc>
        <w:tc>
          <w:tcPr>
            <w:tcW w:w="174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доля конкурентных</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процедур в общем</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объеме закупок для</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обеспечения</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муниципальных нужд</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Быстринского</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муниципального района</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Не менее 20 процентов</w:t>
            </w:r>
          </w:p>
        </w:tc>
        <w:tc>
          <w:tcPr>
            <w:tcW w:w="1771"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развитие конкуренции при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осуществлении закупок для</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обеспечения муниципальных нужд</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Быстринского муниципального района</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Проведение обучающих семинаров,</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совещаний, видеоконференций для</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муниципальных заказчиков</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Быстринского муниципального</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района</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Администрация Быстринского муниципального района</w:t>
            </w:r>
          </w:p>
        </w:tc>
        <w:tc>
          <w:tcPr>
            <w:tcW w:w="174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количество проведённых</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обучающих семинаров,</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совещаний,</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видеоконференций</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4</w:t>
            </w:r>
          </w:p>
        </w:tc>
        <w:tc>
          <w:tcPr>
            <w:tcW w:w="1771"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повышение профессионального</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уровня муниципальных заказчиков</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Быстринского муниципального района</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3</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cs="Times New Roman" w:eastAsiaTheme="minorHAnsi"/>
                <w:sz w:val="24"/>
                <w:szCs w:val="24"/>
                <w:lang w:eastAsia="en-US"/>
              </w:rPr>
              <w:t>Организация мониторинга</w:t>
            </w:r>
          </w:p>
          <w:p>
            <w:pPr>
              <w:pStyle w:val="Normal"/>
              <w:spacing w:lineRule="auto" w:line="240" w:before="0" w:after="0"/>
              <w:rPr>
                <w:rFonts w:eastAsia="Calibri" w:eastAsiaTheme="minorHAnsi"/>
                <w:sz w:val="24"/>
                <w:szCs w:val="24"/>
                <w:lang w:eastAsia="en-US"/>
              </w:rPr>
            </w:pPr>
            <w:r>
              <w:rPr>
                <w:rFonts w:eastAsia="Calibri" w:cs="Times New Roman" w:eastAsiaTheme="minorHAnsi"/>
                <w:sz w:val="24"/>
                <w:szCs w:val="24"/>
                <w:lang w:eastAsia="en-US"/>
              </w:rPr>
              <w:t>муниципальных закупок товаров, работ,</w:t>
            </w:r>
          </w:p>
          <w:p>
            <w:pPr>
              <w:pStyle w:val="Normal"/>
              <w:spacing w:lineRule="auto" w:line="240" w:before="0" w:after="0"/>
              <w:rPr>
                <w:sz w:val="24"/>
                <w:szCs w:val="24"/>
              </w:rPr>
            </w:pPr>
            <w:r>
              <w:rPr>
                <w:rFonts w:eastAsia="Calibri" w:cs="Times New Roman" w:eastAsiaTheme="minorHAnsi"/>
                <w:sz w:val="24"/>
                <w:szCs w:val="24"/>
                <w:lang w:eastAsia="en-US"/>
              </w:rPr>
              <w:t>услуг для обеспечения муниципальных нужд Быстринского муниципального</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Консультант по муниципальным заказам администрации Быстринского муниципального района</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1"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формирования сводного отчета</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закупок товаров, работ, услуг для</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обеспечения муниципальных нужд</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4</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Повышение качества и доступности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муниципальных услуг для юридических</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лиц и индивидуальных</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предпринимателей, осуществляющих</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деятельность на территории</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Быстринского муниципального района</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сельскому хозяйству, экономике и предпринимательству </w:t>
            </w:r>
            <w:r>
              <w:rPr>
                <w:rFonts w:eastAsia="Times New Roman" w:cs="Times New Roman" w:ascii="Times New Roman" w:hAnsi="Times New Roman"/>
                <w:sz w:val="24"/>
                <w:szCs w:val="24"/>
                <w:lang w:eastAsia="ru-RU"/>
              </w:rPr>
              <w:t>администрации Быстринского муниципального района</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Быстринское отделение КГКУ «МФЦ в камчатском крае»</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1"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предоставление услуг на базе</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cs="Times New Roman" w:ascii="Times New Roman" w:hAnsi="Times New Roman"/>
                <w:sz w:val="24"/>
                <w:szCs w:val="24"/>
              </w:rPr>
              <w:t>Быстринское отделение КГКУ «МФЦ в камчатском крае»</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5</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Размещение информации о реализации,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сдаче в аренду муниципального</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 xml:space="preserve">имущества Быстринского муниципального района </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в средствах массовой</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информации, в том числе на</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официальном сайте администрации</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Быстринского муниципального района</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Комитет по управлению муниципальным имуществом Быстринского района</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Повышение уровня информационной обеспеченности населения района о реализации, сдачи в аренду муниципального имущества</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6</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Размещение и актуализация</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информации по вопросам развития 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поддержки малого и среднего</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предпринимательства на официальном</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сайте администрации Быстринского муниципального района, в средствах</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массовой информации</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сельскому хозяйству, экономике и предпринимательству </w:t>
            </w:r>
            <w:r>
              <w:rPr>
                <w:rFonts w:eastAsia="Times New Roman" w:cs="Times New Roman" w:ascii="Times New Roman" w:hAnsi="Times New Roman"/>
                <w:sz w:val="24"/>
                <w:szCs w:val="24"/>
                <w:lang w:eastAsia="ru-RU"/>
              </w:rPr>
              <w:t>администрации Быстринского муниципального района</w:t>
            </w:r>
          </w:p>
          <w:p>
            <w:pPr>
              <w:pStyle w:val="ConsPlusNormal"/>
              <w:numPr>
                <w:ilvl w:val="0"/>
                <w:numId w:val="0"/>
              </w:numPr>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Повышение информированности и компетенции субъектов малого и среднего предпринимательства</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7</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Оказание консультационных услуг субъектам малого и среднего предпринимательства</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сельскому хозяйству, экономике и предпринимательству </w:t>
            </w:r>
            <w:r>
              <w:rPr>
                <w:rFonts w:eastAsia="Times New Roman" w:cs="Times New Roman" w:ascii="Times New Roman" w:hAnsi="Times New Roman"/>
                <w:sz w:val="24"/>
                <w:szCs w:val="24"/>
                <w:lang w:eastAsia="ru-RU"/>
              </w:rPr>
              <w:t>администрации Быстринского муниципального района</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Быстринское отделение КГКУ «МФЦ в камчатском крае»</w:t>
            </w:r>
          </w:p>
          <w:p>
            <w:pPr>
              <w:pStyle w:val="ConsPlusNormal"/>
              <w:numPr>
                <w:ilvl w:val="0"/>
                <w:numId w:val="0"/>
              </w:numPr>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1"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содействие развитию субъектов</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малого и среднего</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предпринимательства</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8</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Проведение  ознакомительных уроков в общеобразовательных школах «Как организовать свой бизнес»</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сельскому хозяйству, экономике и предпринимательству </w:t>
            </w:r>
            <w:r>
              <w:rPr>
                <w:rFonts w:eastAsia="Times New Roman" w:cs="Times New Roman" w:ascii="Times New Roman" w:hAnsi="Times New Roman"/>
                <w:sz w:val="24"/>
                <w:szCs w:val="24"/>
                <w:lang w:eastAsia="ru-RU"/>
              </w:rPr>
              <w:t>администрации Быстринского муниципального района</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Быстринский центр занятости населения </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1"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повышение популяризации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предпринимательской</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деятельности среди молодёжи</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9</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Рассмотрение вопросов, связанных с:</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 выполнением плана мероприятий</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("дорожной карты") по содействию</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развитию конкуренции в</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Быстринского м муниципальном районе</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на 2017-2019 годы;</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 проектами нормативных правовых актов</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администрации Быстринского муниципального района в части их</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потенциального воздействия на состояние и развитие конкурентной среды</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сельскому хозяйству, экономике и предпринимательству </w:t>
            </w:r>
            <w:r>
              <w:rPr>
                <w:rFonts w:eastAsia="Times New Roman" w:cs="Times New Roman" w:ascii="Times New Roman" w:hAnsi="Times New Roman"/>
                <w:sz w:val="24"/>
                <w:szCs w:val="24"/>
                <w:lang w:eastAsia="ru-RU"/>
              </w:rPr>
              <w:t>администрации Быстринского муниципального района</w:t>
            </w:r>
          </w:p>
          <w:p>
            <w:pPr>
              <w:pStyle w:val="ConsPlusNormal"/>
              <w:numPr>
                <w:ilvl w:val="0"/>
                <w:numId w:val="0"/>
              </w:numPr>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1"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совершенствование нормативной</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правовой базы по вопросу</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содействия развитию конкуренции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на рынках товаров и услуг в</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Быстринском муниципальном</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районе</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10</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Подготовка ежегодного доклада</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«Состояние и развитие конкурентной</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среды на рынках товаров и услуг</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Быстринского муниципального района</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сельскому хозяйству, экономике и предпринимательству </w:t>
            </w:r>
            <w:r>
              <w:rPr>
                <w:rFonts w:eastAsia="Times New Roman" w:cs="Times New Roman" w:ascii="Times New Roman" w:hAnsi="Times New Roman"/>
                <w:sz w:val="24"/>
                <w:szCs w:val="24"/>
                <w:lang w:eastAsia="ru-RU"/>
              </w:rPr>
              <w:t>администрации Быстринского муниципального района</w:t>
            </w:r>
          </w:p>
          <w:p>
            <w:pPr>
              <w:pStyle w:val="ConsPlusNormal"/>
              <w:numPr>
                <w:ilvl w:val="0"/>
                <w:numId w:val="0"/>
              </w:numPr>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1"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cs="Times New Roman" w:eastAsiaTheme="minorHAnsi"/>
                <w:sz w:val="24"/>
                <w:szCs w:val="24"/>
                <w:lang w:eastAsia="en-US"/>
              </w:rPr>
              <w:t>предоставление ежегодного</w:t>
            </w:r>
          </w:p>
          <w:p>
            <w:pPr>
              <w:pStyle w:val="Normal"/>
              <w:spacing w:lineRule="auto" w:line="240" w:before="0" w:after="0"/>
              <w:rPr>
                <w:sz w:val="24"/>
                <w:szCs w:val="24"/>
              </w:rPr>
            </w:pPr>
            <w:r>
              <w:rPr>
                <w:rFonts w:eastAsia="Calibri" w:cs="Times New Roman" w:eastAsiaTheme="minorHAnsi"/>
                <w:sz w:val="24"/>
                <w:szCs w:val="24"/>
                <w:lang w:eastAsia="en-US"/>
              </w:rPr>
              <w:t>доклада в Министерство экономического развития и торговли Камчатского края</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11</w:t>
            </w:r>
          </w:p>
        </w:tc>
        <w:tc>
          <w:tcPr>
            <w:tcW w:w="1777"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cs="Times New Roman" w:eastAsiaTheme="minorHAnsi"/>
                <w:sz w:val="24"/>
                <w:szCs w:val="24"/>
                <w:lang w:eastAsia="en-US"/>
              </w:rPr>
              <w:t>Актуализация «дорожной карты» по</w:t>
            </w:r>
          </w:p>
          <w:p>
            <w:pPr>
              <w:pStyle w:val="Normal"/>
              <w:spacing w:lineRule="auto" w:line="240" w:before="0" w:after="0"/>
              <w:rPr>
                <w:rFonts w:eastAsia="Calibri" w:eastAsiaTheme="minorHAnsi"/>
                <w:sz w:val="24"/>
                <w:szCs w:val="24"/>
                <w:lang w:eastAsia="en-US"/>
              </w:rPr>
            </w:pPr>
            <w:r>
              <w:rPr>
                <w:rFonts w:eastAsia="Calibri" w:cs="Times New Roman" w:eastAsiaTheme="minorHAnsi"/>
                <w:sz w:val="24"/>
                <w:szCs w:val="24"/>
                <w:lang w:eastAsia="en-US"/>
              </w:rPr>
              <w:t>содействию развитию конкуренции в</w:t>
            </w:r>
          </w:p>
          <w:p>
            <w:pPr>
              <w:pStyle w:val="Normal"/>
              <w:spacing w:lineRule="auto" w:line="240" w:before="0" w:after="0"/>
              <w:rPr>
                <w:rFonts w:eastAsia="Calibri" w:eastAsiaTheme="minorHAnsi"/>
                <w:sz w:val="24"/>
                <w:szCs w:val="24"/>
                <w:lang w:eastAsia="en-US"/>
              </w:rPr>
            </w:pPr>
            <w:r>
              <w:rPr>
                <w:rFonts w:eastAsia="Calibri" w:cs="Times New Roman" w:eastAsiaTheme="minorHAnsi"/>
                <w:sz w:val="24"/>
                <w:szCs w:val="24"/>
                <w:lang w:eastAsia="en-US"/>
              </w:rPr>
              <w:t>Быстринского муниципальном районе</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cs="Times New Roman" w:ascii="Times New Roman" w:hAnsi="Times New Roman"/>
                <w:sz w:val="24"/>
                <w:szCs w:val="24"/>
              </w:rPr>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сельскому хозяйству, экономике и предпринимательству </w:t>
            </w:r>
            <w:r>
              <w:rPr>
                <w:rFonts w:eastAsia="Times New Roman" w:cs="Times New Roman" w:ascii="Times New Roman" w:hAnsi="Times New Roman"/>
                <w:sz w:val="24"/>
                <w:szCs w:val="24"/>
                <w:lang w:eastAsia="ru-RU"/>
              </w:rPr>
              <w:t>администрации Быстринского муниципального района</w:t>
            </w:r>
          </w:p>
          <w:p>
            <w:pPr>
              <w:pStyle w:val="ConsPlusNormal"/>
              <w:numPr>
                <w:ilvl w:val="0"/>
                <w:numId w:val="0"/>
              </w:numPr>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w:t>
            </w:r>
          </w:p>
        </w:tc>
        <w:tc>
          <w:tcPr>
            <w:tcW w:w="1771" w:type="dxa"/>
            <w:tcBorders/>
            <w:shd w:fill="auto" w:val="clear"/>
            <w:tcMar>
              <w:left w:w="108" w:type="dxa"/>
            </w:tcMar>
          </w:tcPr>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подготовка обновлённой версии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«дорожной карты» с учётом</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предложений структурных</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подразделений администрации</w:t>
            </w:r>
          </w:p>
          <w:p>
            <w:pPr>
              <w:pStyle w:val="Normal"/>
              <w:spacing w:lineRule="auto" w:line="240" w:before="0" w:after="0"/>
              <w:rPr>
                <w:rFonts w:eastAsia="Calibri" w:eastAsiaTheme="minorHAnsi"/>
                <w:sz w:val="24"/>
                <w:szCs w:val="24"/>
                <w:lang w:eastAsia="en-US"/>
              </w:rPr>
            </w:pPr>
            <w:r>
              <w:rPr>
                <w:rFonts w:eastAsia="Calibri" w:eastAsiaTheme="minorHAnsi"/>
                <w:sz w:val="24"/>
                <w:szCs w:val="24"/>
                <w:lang w:eastAsia="en-US"/>
              </w:rPr>
              <w:t>Быстринского</w:t>
            </w:r>
          </w:p>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муниципального района</w:t>
            </w:r>
          </w:p>
        </w:tc>
      </w:tr>
      <w:tr>
        <w:trPr/>
        <w:tc>
          <w:tcPr>
            <w:tcW w:w="9569" w:type="dxa"/>
            <w:gridSpan w:val="7"/>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Calibri" w:cs="Times New Roman" w:ascii="Times New Roman" w:hAnsi="Times New Roman" w:eastAsiaTheme="minorHAnsi"/>
                <w:b/>
                <w:bCs/>
                <w:sz w:val="24"/>
                <w:szCs w:val="24"/>
                <w:lang w:eastAsia="en-US"/>
              </w:rPr>
              <w:t>Мероприятия по содействию развитию конкуренции на социально значимых рынках</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1</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Рынок услуг детского отдыха и оздоровления</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отдел образования и социальной защиты населения администрации Быстринского муниципального района</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Удельный вес численности детей </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6 процентов</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Развитие частного сектора для организации  отдыха и оздоровления детей</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Рынок услуг дополнительного образования детей</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отдел образования и социальной защиты населения администрации Быстринского муниципального района</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Удельный вес численности детей </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6 процентов</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Развитие негосударственного сектора дополнительного образования детей</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3</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Рынок услуг в сфере строительства</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отдел по строительству и архитектуре администрации Быстринского муниципального района</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Разработка административных регламентов в сфере строительства в целях соблюдения требований действующего законодательства, а также сокращения сроков оказания муниципальных услуг</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Создание условий максимального благоприятствования хозяйствующим субъектам при выходе на строительный рынок</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4</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Рынок услуг жилищно-коммунального хозяйства</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отдел по жилищно-коммунальному  хозяйству и работе с населением администрации Быстринского муниципального района</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Повышение качества оказания услуг на рынке управления жильем, передача в управление частным операторам на основе концессионных соглашений объектов ЖКХ, осуществляющих неэффективное использование</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5 процентов</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Повышение качества оказания услуг в сфере жилищно- коммунального хозяйства</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5</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Style w:val="Strong"/>
                <w:rFonts w:eastAsia="Times New Roman" w:cs="Times New Roman" w:ascii="Times New Roman" w:hAnsi="Times New Roman"/>
                <w:b w:val="false"/>
                <w:color w:val="282828"/>
                <w:sz w:val="24"/>
                <w:szCs w:val="24"/>
                <w:lang w:eastAsia="ru-RU"/>
              </w:rPr>
              <w:t>Рынок бытового обслуживания</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сельскому хозяйству, экономике и предпринимательству </w:t>
            </w:r>
            <w:r>
              <w:rPr>
                <w:rFonts w:eastAsia="Times New Roman" w:cs="Times New Roman" w:ascii="Times New Roman" w:hAnsi="Times New Roman"/>
                <w:sz w:val="24"/>
                <w:szCs w:val="24"/>
                <w:lang w:eastAsia="ru-RU"/>
              </w:rPr>
              <w:t>администрации Быстринского муниципального района</w:t>
            </w:r>
          </w:p>
          <w:p>
            <w:pPr>
              <w:pStyle w:val="ConsPlusNormal"/>
              <w:numPr>
                <w:ilvl w:val="0"/>
                <w:numId w:val="0"/>
              </w:numPr>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Привлечение поставщиков  для оказания услуг по бытовому обслуживанию</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3 </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Повышение качества жизни населения района</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6</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Style w:val="Strong"/>
                <w:rFonts w:eastAsia="Times New Roman" w:cs="Times New Roman" w:ascii="Times New Roman" w:hAnsi="Times New Roman"/>
                <w:b w:val="false"/>
                <w:color w:val="282828"/>
                <w:sz w:val="24"/>
                <w:szCs w:val="24"/>
                <w:lang w:eastAsia="ru-RU"/>
              </w:rPr>
              <w:t>Рынок  развития сельского хозяйства</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сельскому хозяйству, экономике и предпринимательству </w:t>
            </w:r>
            <w:r>
              <w:rPr>
                <w:rFonts w:eastAsia="Times New Roman" w:cs="Times New Roman" w:ascii="Times New Roman" w:hAnsi="Times New Roman"/>
                <w:sz w:val="24"/>
                <w:szCs w:val="24"/>
                <w:lang w:eastAsia="ru-RU"/>
              </w:rPr>
              <w:t>администрации Быстринского муниципального района</w:t>
            </w:r>
          </w:p>
          <w:p>
            <w:pPr>
              <w:pStyle w:val="ConsPlusNormal"/>
              <w:numPr>
                <w:ilvl w:val="0"/>
                <w:numId w:val="0"/>
              </w:numPr>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Развитие предприятий занимающихся сельским хозяйством</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10 процентов</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Увеличение доли продуктов местного производства</w:t>
            </w:r>
          </w:p>
        </w:tc>
      </w:tr>
      <w:tr>
        <w:trPr/>
        <w:tc>
          <w:tcPr>
            <w:tcW w:w="529"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7</w:t>
            </w:r>
          </w:p>
        </w:tc>
        <w:tc>
          <w:tcPr>
            <w:tcW w:w="17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Style w:val="Strong"/>
                <w:rFonts w:eastAsia="Times New Roman" w:cs="Times New Roman" w:ascii="Times New Roman" w:hAnsi="Times New Roman"/>
                <w:b w:val="false"/>
                <w:color w:val="282828"/>
                <w:sz w:val="24"/>
                <w:szCs w:val="24"/>
                <w:lang w:eastAsia="ru-RU"/>
              </w:rPr>
              <w:t>Рынок туристических услуг</w:t>
            </w:r>
          </w:p>
        </w:tc>
        <w:tc>
          <w:tcPr>
            <w:tcW w:w="1013"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2017-2019</w:t>
            </w:r>
          </w:p>
        </w:tc>
        <w:tc>
          <w:tcPr>
            <w:tcW w:w="1755"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color w:val="282828"/>
                <w:sz w:val="24"/>
                <w:szCs w:val="24"/>
                <w:lang w:eastAsia="ru-RU"/>
              </w:rPr>
              <w:t xml:space="preserve">Советник по КМНС, межнациональным и религиозным, культуре и туризма </w:t>
            </w:r>
            <w:r>
              <w:rPr>
                <w:rFonts w:eastAsia="Times New Roman" w:cs="Times New Roman" w:ascii="Times New Roman" w:hAnsi="Times New Roman"/>
                <w:sz w:val="24"/>
                <w:szCs w:val="24"/>
                <w:lang w:eastAsia="ru-RU"/>
              </w:rPr>
              <w:t>администрации Быстринского муниципального района</w:t>
            </w:r>
          </w:p>
        </w:tc>
        <w:tc>
          <w:tcPr>
            <w:tcW w:w="174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Разработка мероприятий, направленных на увеличение числа субъектов малого и среднего предпринимательства в сфере туризма. Повышение качества предоставления услуг в сфере туризма</w:t>
            </w:r>
          </w:p>
        </w:tc>
        <w:tc>
          <w:tcPr>
            <w:tcW w:w="977"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10 процентов</w:t>
            </w:r>
          </w:p>
        </w:tc>
        <w:tc>
          <w:tcPr>
            <w:tcW w:w="1771" w:type="dxa"/>
            <w:tcBorders/>
            <w:shd w:fill="auto" w:val="clear"/>
            <w:tcMar>
              <w:left w:w="108" w:type="dxa"/>
            </w:tcMar>
          </w:tcPr>
          <w:p>
            <w:pPr>
              <w:pStyle w:val="ConsPlusNormal"/>
              <w:numPr>
                <w:ilvl w:val="0"/>
                <w:numId w:val="0"/>
              </w:numPr>
              <w:spacing w:lineRule="auto" w:line="240" w:before="0" w:after="0"/>
              <w:jc w:val="center"/>
              <w:outlineLvl w:val="1"/>
              <w:rPr>
                <w:rFonts w:ascii="Times New Roman" w:hAnsi="Times New Roman" w:cs="Times New Roman"/>
                <w:sz w:val="24"/>
                <w:szCs w:val="24"/>
              </w:rPr>
            </w:pPr>
            <w:r>
              <w:rPr>
                <w:rFonts w:eastAsia="Times New Roman" w:cs="Times New Roman" w:ascii="Times New Roman" w:hAnsi="Times New Roman"/>
                <w:sz w:val="24"/>
                <w:szCs w:val="24"/>
                <w:lang w:eastAsia="ru-RU"/>
              </w:rPr>
              <w:t>Увеличение числа субъектов малого и среднего предпринимательства в сфере туризма. Повышение качества обслуживания туристов</w:t>
            </w:r>
          </w:p>
        </w:tc>
      </w:tr>
    </w:tbl>
    <w:p>
      <w:pPr>
        <w:pStyle w:val="ConsPlusNormal"/>
        <w:numPr>
          <w:ilvl w:val="0"/>
          <w:numId w:val="0"/>
        </w:numPr>
        <w:ind w:firstLine="708"/>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8"/>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8"/>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8"/>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8"/>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8"/>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6372" w:firstLine="708"/>
        <w:jc w:val="both"/>
        <w:outlineLvl w:val="1"/>
        <w:rPr>
          <w:rFonts w:ascii="Times New Roman" w:hAnsi="Times New Roman" w:cs="Times New Roman"/>
          <w:sz w:val="24"/>
          <w:szCs w:val="24"/>
        </w:rPr>
      </w:pPr>
      <w:r>
        <w:rPr/>
      </w:r>
      <w:r>
        <w:br w:type="page"/>
      </w:r>
    </w:p>
    <w:p>
      <w:pPr>
        <w:pStyle w:val="ConsPlusNormal"/>
        <w:numPr>
          <w:ilvl w:val="0"/>
          <w:numId w:val="0"/>
        </w:numPr>
        <w:ind w:left="6372" w:firstLine="708"/>
        <w:jc w:val="both"/>
        <w:outlineLvl w:val="1"/>
        <w:rPr/>
      </w:pPr>
      <w:r>
        <w:rPr>
          <w:rFonts w:cs="Times New Roman" w:ascii="Times New Roman" w:hAnsi="Times New Roman"/>
          <w:sz w:val="24"/>
          <w:szCs w:val="24"/>
        </w:rPr>
        <w:t>Приложение</w:t>
      </w:r>
    </w:p>
    <w:p>
      <w:pPr>
        <w:pStyle w:val="ConsPlusNormal"/>
        <w:numPr>
          <w:ilvl w:val="0"/>
          <w:numId w:val="0"/>
        </w:numPr>
        <w:ind w:left="1068"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2"/>
        </w:numPr>
        <w:jc w:val="both"/>
        <w:outlineLvl w:val="1"/>
        <w:rPr>
          <w:rFonts w:ascii="Times New Roman" w:hAnsi="Times New Roman" w:cs="Times New Roman"/>
          <w:sz w:val="28"/>
          <w:szCs w:val="28"/>
        </w:rPr>
      </w:pPr>
      <w:r>
        <w:rPr>
          <w:rFonts w:cs="Times New Roman" w:ascii="Times New Roman" w:hAnsi="Times New Roman"/>
          <w:color w:val="282828"/>
          <w:sz w:val="28"/>
          <w:szCs w:val="28"/>
        </w:rPr>
        <w:t>Рынок услуг детского отдыха и оздоровления</w:t>
      </w:r>
    </w:p>
    <w:p>
      <w:pPr>
        <w:pStyle w:val="ConsPlusNormal"/>
        <w:numPr>
          <w:ilvl w:val="0"/>
          <w:numId w:val="0"/>
        </w:numPr>
        <w:ind w:firstLine="708"/>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sz w:val="28"/>
          <w:szCs w:val="28"/>
        </w:rPr>
      </w:pPr>
      <w:r>
        <w:rPr>
          <w:sz w:val="28"/>
          <w:szCs w:val="28"/>
        </w:rPr>
        <w:t>Создание условий для обеспечения качественного отдыха  и  оздоровления  детей  и  молодежи  в  районе предусмотрено  мероприятия Подпрограммы «Организация отдыха, оздоровления и занятости детей и молодежи в Быстринском муниципальном районе». Ежегодно организовывается летняя оздоровительная кампания, в которой функционируют 2 лагеря дневного пребывания детей и подростков, организуемых на базе учреждений образовательных учреждений. На эти цели из средств местного бюджета ежегодно выделяется финансирование на проведение данного мероприятия. Конкурентная среда в сфере услуг детского отдыха и оздоровления в районе  недостаточно развита – ограничена. В районе проживают 350 детей школьного возраста. И только один месяц – организованны оздоровительные лагеря. Не все дети имеют возможность выехать за пределы района на отдых. Имея природно-климатические ресурсы в районе можно развить круглогодичное предоставление таких услуг. При привлечении инвестиций в район можно построить  современный, отвечающий всем условиям оздоровления детей круглогодичный лагерь.</w:t>
      </w:r>
    </w:p>
    <w:p>
      <w:pPr>
        <w:pStyle w:val="Normal"/>
        <w:ind w:firstLine="540"/>
        <w:jc w:val="both"/>
        <w:rPr>
          <w:sz w:val="28"/>
          <w:szCs w:val="28"/>
        </w:rPr>
      </w:pPr>
      <w:r>
        <w:rPr>
          <w:sz w:val="28"/>
          <w:szCs w:val="28"/>
        </w:rPr>
      </w:r>
    </w:p>
    <w:p>
      <w:pPr>
        <w:pStyle w:val="ListParagraph"/>
        <w:numPr>
          <w:ilvl w:val="0"/>
          <w:numId w:val="2"/>
        </w:numPr>
        <w:jc w:val="both"/>
        <w:rPr>
          <w:sz w:val="28"/>
          <w:szCs w:val="28"/>
        </w:rPr>
      </w:pPr>
      <w:r>
        <w:rPr>
          <w:color w:val="282828"/>
          <w:sz w:val="28"/>
          <w:szCs w:val="28"/>
        </w:rPr>
        <w:t>Рынок услуг дополнительного образования детей</w:t>
      </w:r>
    </w:p>
    <w:p>
      <w:pPr>
        <w:pStyle w:val="ListParagraph"/>
        <w:ind w:left="0" w:hanging="0"/>
        <w:jc w:val="both"/>
        <w:rPr>
          <w:color w:val="282828"/>
          <w:sz w:val="28"/>
          <w:szCs w:val="28"/>
        </w:rPr>
      </w:pPr>
      <w:r>
        <w:rPr>
          <w:color w:val="282828"/>
          <w:sz w:val="28"/>
          <w:szCs w:val="28"/>
        </w:rPr>
      </w:r>
    </w:p>
    <w:p>
      <w:pPr>
        <w:pStyle w:val="ListParagraph"/>
        <w:ind w:left="0" w:firstLine="397"/>
        <w:jc w:val="both"/>
        <w:rPr>
          <w:sz w:val="28"/>
          <w:szCs w:val="28"/>
        </w:rPr>
      </w:pPr>
      <w:r>
        <w:rPr>
          <w:color w:val="282828"/>
          <w:sz w:val="28"/>
          <w:szCs w:val="28"/>
        </w:rPr>
        <w:t>В районе по дополнительному образованию детей  предоставляют два муниципальных учреждения.</w:t>
      </w:r>
    </w:p>
    <w:p>
      <w:pPr>
        <w:pStyle w:val="095"/>
        <w:ind w:left="0" w:firstLine="397"/>
        <w:rPr/>
      </w:pPr>
      <w:r>
        <w:rPr>
          <w:sz w:val="28"/>
          <w:szCs w:val="28"/>
          <w:lang w:val="zh-CN" w:eastAsia="ru-RU"/>
        </w:rPr>
        <w:t>Муниципальное автономное образовательное учреждение дополнительного образования "Быстринский Дом Детского Творчества"</w:t>
      </w:r>
      <w:r>
        <w:rPr>
          <w:sz w:val="28"/>
          <w:szCs w:val="28"/>
        </w:rPr>
        <w:t xml:space="preserve"> в августе 2015 года  перешли работать в новое здание,  дети занимаются в данном учреждении в более просторных, светлых аудиториях. Открылся еще один кружок- шитья и кройки.</w:t>
      </w:r>
    </w:p>
    <w:p>
      <w:pPr>
        <w:pStyle w:val="095"/>
        <w:ind w:left="0" w:firstLine="397"/>
        <w:rPr>
          <w:sz w:val="28"/>
          <w:szCs w:val="28"/>
        </w:rPr>
      </w:pPr>
      <w:r>
        <w:rPr>
          <w:sz w:val="28"/>
          <w:szCs w:val="28"/>
        </w:rPr>
        <w:t>Существенно улучшилось обеспечение школ района современным информационно-технологическим оборудованием. Обеспечен доступ к информационной телекоммуникационной сети Интернет всем общеобразовательным учреждениям.</w:t>
      </w:r>
    </w:p>
    <w:p>
      <w:pPr>
        <w:pStyle w:val="095"/>
        <w:ind w:left="0" w:firstLine="397"/>
        <w:rPr>
          <w:sz w:val="28"/>
          <w:szCs w:val="28"/>
        </w:rPr>
      </w:pPr>
      <w:r>
        <w:rPr>
          <w:sz w:val="28"/>
          <w:szCs w:val="28"/>
        </w:rPr>
        <w:t>В детской школе искусств организованны  142 ученика по восьми направлениям, которые получают дополнительное образование в сфере искусства.</w:t>
      </w:r>
    </w:p>
    <w:p>
      <w:pPr>
        <w:pStyle w:val="095"/>
        <w:ind w:firstLine="1068"/>
        <w:rPr>
          <w:sz w:val="28"/>
          <w:szCs w:val="28"/>
        </w:rPr>
      </w:pPr>
      <w:r>
        <w:rPr>
          <w:sz w:val="28"/>
          <w:szCs w:val="28"/>
        </w:rPr>
        <w:t>В целях создания здоровой конкурентной среды на рынке услуг дополнительного образования и повышения их уровня открытости  актуально расширение сети образования через развитие негосударственного сектора:</w:t>
      </w:r>
    </w:p>
    <w:p>
      <w:pPr>
        <w:pStyle w:val="095"/>
        <w:ind w:hanging="0"/>
        <w:rPr>
          <w:sz w:val="28"/>
          <w:szCs w:val="28"/>
        </w:rPr>
      </w:pPr>
      <w:r>
        <w:rPr>
          <w:sz w:val="28"/>
          <w:szCs w:val="28"/>
        </w:rPr>
        <w:t>увеличение разнообразия и расширения ассортимента образовательных программ для детей и молодежи (обучение столярному делу, развитие технических способностей детей, спортивные и т.д.).</w:t>
      </w:r>
    </w:p>
    <w:p>
      <w:pPr>
        <w:pStyle w:val="095"/>
        <w:ind w:hanging="0"/>
        <w:rPr>
          <w:sz w:val="28"/>
          <w:szCs w:val="28"/>
        </w:rPr>
      </w:pPr>
      <w:r>
        <w:rPr>
          <w:sz w:val="28"/>
          <w:szCs w:val="28"/>
        </w:rPr>
      </w:r>
    </w:p>
    <w:p>
      <w:pPr>
        <w:pStyle w:val="095"/>
        <w:numPr>
          <w:ilvl w:val="0"/>
          <w:numId w:val="2"/>
        </w:numPr>
        <w:rPr>
          <w:sz w:val="28"/>
          <w:szCs w:val="28"/>
        </w:rPr>
      </w:pPr>
      <w:r>
        <w:rPr>
          <w:color w:val="282828"/>
          <w:sz w:val="28"/>
          <w:szCs w:val="28"/>
        </w:rPr>
        <w:t>Рынок услуг в сфере строительства</w:t>
      </w:r>
    </w:p>
    <w:p>
      <w:pPr>
        <w:pStyle w:val="Normal"/>
        <w:jc w:val="both"/>
        <w:rPr>
          <w:sz w:val="28"/>
          <w:szCs w:val="28"/>
        </w:rPr>
      </w:pPr>
      <w:r>
        <w:rPr>
          <w:sz w:val="28"/>
          <w:szCs w:val="28"/>
        </w:rPr>
      </w:r>
    </w:p>
    <w:p>
      <w:pPr>
        <w:pStyle w:val="Normal"/>
        <w:ind w:left="0" w:firstLine="397"/>
        <w:jc w:val="both"/>
        <w:rPr>
          <w:sz w:val="28"/>
          <w:szCs w:val="28"/>
        </w:rPr>
      </w:pPr>
      <w:r>
        <w:rPr>
          <w:sz w:val="28"/>
          <w:szCs w:val="28"/>
        </w:rPr>
        <w:t xml:space="preserve">Администрацией Быстринского муниципального района утверждена муниципальная программа: </w:t>
      </w:r>
      <w:r>
        <w:rPr>
          <w:sz w:val="28"/>
          <w:szCs w:val="28"/>
          <w:lang w:val="zh-CN"/>
        </w:rPr>
        <w:t>«Стимулирование жилищного строительства в  Быстринском муниципальном районе на 201</w:t>
      </w:r>
      <w:r>
        <w:rPr>
          <w:sz w:val="28"/>
          <w:szCs w:val="28"/>
        </w:rPr>
        <w:t>4</w:t>
      </w:r>
      <w:r>
        <w:rPr>
          <w:sz w:val="28"/>
          <w:szCs w:val="28"/>
          <w:lang w:val="zh-CN"/>
        </w:rPr>
        <w:t>-201</w:t>
      </w:r>
      <w:r>
        <w:rPr>
          <w:sz w:val="28"/>
          <w:szCs w:val="28"/>
        </w:rPr>
        <w:t>8</w:t>
      </w:r>
      <w:r>
        <w:rPr>
          <w:sz w:val="28"/>
          <w:szCs w:val="28"/>
          <w:lang w:val="zh-CN"/>
        </w:rPr>
        <w:t xml:space="preserve"> годы</w:t>
      </w:r>
      <w:r>
        <w:rPr>
          <w:sz w:val="28"/>
          <w:szCs w:val="28"/>
        </w:rPr>
        <w:t>». Основными задачами муниципальной программы  являются:</w:t>
      </w:r>
      <w:r>
        <w:rPr>
          <w:sz w:val="28"/>
          <w:szCs w:val="28"/>
          <w:lang w:val="zh-CN"/>
        </w:rPr>
        <w:t xml:space="preserve"> </w:t>
      </w:r>
      <w:r>
        <w:rPr>
          <w:sz w:val="28"/>
          <w:szCs w:val="28"/>
        </w:rPr>
        <w:t>о</w:t>
      </w:r>
      <w:r>
        <w:rPr>
          <w:sz w:val="28"/>
          <w:szCs w:val="28"/>
          <w:lang w:val="zh-CN"/>
        </w:rPr>
        <w:t>беспечение населения Быстринского муниципального района доступным жильем путем реализации механизмов поддержки и развития жилищного строительства и стимулирование спроса на рынке жилья</w:t>
      </w:r>
      <w:r>
        <w:rPr>
          <w:sz w:val="28"/>
          <w:szCs w:val="28"/>
        </w:rPr>
        <w:t>.</w:t>
      </w:r>
    </w:p>
    <w:p>
      <w:pPr>
        <w:pStyle w:val="Normal"/>
        <w:ind w:left="0" w:firstLine="397"/>
        <w:jc w:val="both"/>
        <w:rPr>
          <w:sz w:val="28"/>
          <w:szCs w:val="28"/>
        </w:rPr>
      </w:pPr>
      <w:r>
        <w:rPr>
          <w:sz w:val="28"/>
          <w:szCs w:val="28"/>
        </w:rPr>
        <w:t>Для решения поставленных задач, а именно:</w:t>
      </w:r>
    </w:p>
    <w:p>
      <w:pPr>
        <w:pStyle w:val="Normal"/>
        <w:ind w:left="0" w:firstLine="397"/>
        <w:jc w:val="both"/>
        <w:rPr>
          <w:sz w:val="28"/>
          <w:szCs w:val="28"/>
          <w:lang w:val="zh-CN"/>
        </w:rPr>
      </w:pPr>
      <w:r>
        <w:rPr>
          <w:sz w:val="28"/>
          <w:szCs w:val="28"/>
          <w:lang w:val="zh-CN"/>
        </w:rPr>
        <w:t>- создание условий для развития массового жилищного строительства, в том числе малоэтажного;</w:t>
      </w:r>
    </w:p>
    <w:p>
      <w:pPr>
        <w:pStyle w:val="Normal"/>
        <w:ind w:left="0" w:firstLine="397"/>
        <w:jc w:val="both"/>
        <w:rPr>
          <w:sz w:val="28"/>
          <w:szCs w:val="28"/>
          <w:lang w:val="zh-CN"/>
        </w:rPr>
      </w:pPr>
      <w:r>
        <w:rPr>
          <w:sz w:val="28"/>
          <w:szCs w:val="28"/>
        </w:rPr>
        <w:t xml:space="preserve"> </w:t>
      </w:r>
      <w:r>
        <w:rPr>
          <w:sz w:val="28"/>
          <w:szCs w:val="28"/>
          <w:lang w:val="zh-CN"/>
        </w:rPr>
        <w:t>- развитие производственной базы строительного комплекса района, создание условий для применения в жилищном строительстве новых технологий и материалов, отвечающих требованиям энергоэффективности, экономичности и экологичности;</w:t>
      </w:r>
    </w:p>
    <w:p>
      <w:pPr>
        <w:pStyle w:val="Normal"/>
        <w:ind w:left="0" w:firstLine="397"/>
        <w:jc w:val="both"/>
        <w:rPr>
          <w:sz w:val="28"/>
          <w:szCs w:val="28"/>
          <w:lang w:val="zh-CN"/>
        </w:rPr>
      </w:pPr>
      <w:r>
        <w:rPr>
          <w:sz w:val="28"/>
          <w:szCs w:val="28"/>
          <w:lang w:val="zh-CN"/>
        </w:rPr>
        <w:t>- обеспечение благоустроенным жильём граждан, проживающих в помещениях, не отвечающих установленным требованиям для жилых помещений;</w:t>
      </w:r>
    </w:p>
    <w:p>
      <w:pPr>
        <w:pStyle w:val="095"/>
        <w:ind w:left="0" w:firstLine="397"/>
        <w:rPr>
          <w:sz w:val="28"/>
          <w:szCs w:val="28"/>
        </w:rPr>
      </w:pPr>
      <w:r>
        <w:rPr>
          <w:sz w:val="28"/>
          <w:szCs w:val="28"/>
          <w:lang w:val="zh-CN"/>
        </w:rPr>
        <w:t>- создание условий для развития ипотечного жилищного кредитования и деятельности участников рынка</w:t>
      </w:r>
    </w:p>
    <w:p>
      <w:pPr>
        <w:pStyle w:val="095"/>
        <w:ind w:left="0" w:firstLine="397"/>
        <w:rPr>
          <w:sz w:val="28"/>
          <w:szCs w:val="28"/>
        </w:rPr>
      </w:pPr>
      <w:r>
        <w:rPr>
          <w:sz w:val="28"/>
          <w:szCs w:val="28"/>
        </w:rPr>
        <w:t>необходима  конкурентная среда на рынке в сфере строительства. Разработка административных регламентов в сфере строительства в целях соблюдения требований действующего законодательства, а также сокращения сроков оказания муниципальных услуг создадим необходимые условия для  максимального благоприятствования хозяйствующим субъектам при выходе на строительный рынок.</w:t>
      </w:r>
    </w:p>
    <w:p>
      <w:pPr>
        <w:pStyle w:val="095"/>
        <w:ind w:hanging="0"/>
        <w:rPr>
          <w:sz w:val="28"/>
          <w:szCs w:val="28"/>
        </w:rPr>
      </w:pPr>
      <w:r>
        <w:rPr>
          <w:sz w:val="28"/>
          <w:szCs w:val="28"/>
        </w:rPr>
      </w:r>
    </w:p>
    <w:p>
      <w:pPr>
        <w:pStyle w:val="095"/>
        <w:numPr>
          <w:ilvl w:val="0"/>
          <w:numId w:val="2"/>
        </w:numPr>
        <w:rPr>
          <w:sz w:val="28"/>
          <w:szCs w:val="28"/>
        </w:rPr>
      </w:pPr>
      <w:r>
        <w:rPr>
          <w:color w:val="282828"/>
          <w:sz w:val="28"/>
          <w:szCs w:val="28"/>
        </w:rPr>
        <w:t>Рынок услуг жилищно-коммунального хозяйства</w:t>
      </w:r>
    </w:p>
    <w:p>
      <w:pPr>
        <w:pStyle w:val="095"/>
        <w:ind w:left="1068" w:hanging="0"/>
        <w:rPr>
          <w:color w:val="282828"/>
          <w:sz w:val="28"/>
          <w:szCs w:val="28"/>
        </w:rPr>
      </w:pPr>
      <w:r>
        <w:rPr>
          <w:color w:val="282828"/>
          <w:sz w:val="28"/>
          <w:szCs w:val="28"/>
        </w:rPr>
      </w:r>
    </w:p>
    <w:p>
      <w:pPr>
        <w:pStyle w:val="Normal"/>
        <w:ind w:firstLine="540"/>
        <w:jc w:val="both"/>
        <w:rPr>
          <w:spacing w:val="-2"/>
          <w:sz w:val="28"/>
          <w:szCs w:val="28"/>
        </w:rPr>
      </w:pPr>
      <w:r>
        <w:rPr>
          <w:bCs/>
          <w:sz w:val="28"/>
          <w:szCs w:val="28"/>
        </w:rPr>
        <w:t xml:space="preserve">Жилищный фонд Быстринского района распределяется следующим образом: общая площадь 59,3 тыс.кв.м. из них 15,3 тыс. кв.м.- муниципальное жилье,  43,9 тыс.кв.м. частное жилье.  </w:t>
      </w:r>
      <w:r>
        <w:rPr>
          <w:spacing w:val="-2"/>
          <w:sz w:val="28"/>
          <w:szCs w:val="28"/>
        </w:rPr>
        <w:tab/>
        <w:t>Одиночное протяжение уличных водопроводных сетей 6,9 км. Отпуск воды всем потребителям 139 тыс. куб. м., из них населению 96 тыс. кв.м. Протяжение канализационной уличной сети 10,9 км. Пропуск сточных вод  через очистные сооружения, которые прошли полную биологическую очистку102,3 тыс. куб. м. Число источников теплоснабжения 12 ед., протяженность тепловых сетей в двухтрубном исполнении 32,1 км. Отпуск тепловой энергии всем потребителям 42,1 тыс. Гкал, из них населению 31,4.</w:t>
      </w:r>
    </w:p>
    <w:p>
      <w:pPr>
        <w:pStyle w:val="Normal"/>
        <w:ind w:firstLine="540"/>
        <w:jc w:val="both"/>
        <w:rPr>
          <w:sz w:val="28"/>
          <w:szCs w:val="28"/>
        </w:rPr>
      </w:pPr>
      <w:r>
        <w:rPr>
          <w:spacing w:val="-2"/>
          <w:sz w:val="28"/>
          <w:szCs w:val="28"/>
        </w:rPr>
        <w:t xml:space="preserve">В сложившейся системе района сетей электроснабжения, водообеспечения и канализации данный сектор имеют низкую возможность развития конкуренции. По сути, они являются монополистами в данной отрасли. Одним из сегментов рынка жилищно-коммунального хозяйства является деятельность управляющих компаний многоквартирных домов в районе. </w:t>
      </w:r>
      <w:r>
        <w:rPr>
          <w:sz w:val="28"/>
          <w:szCs w:val="28"/>
        </w:rPr>
        <w:t>Повышение качества оказания услуг на рынке управления жильем, передача в управление частным операторам на основе концессионных соглашений объектов ЖКХ достигнем повышения качества предоставляемых услуг в сфере ЖКХ.</w:t>
      </w:r>
    </w:p>
    <w:p>
      <w:pPr>
        <w:pStyle w:val="Normal"/>
        <w:ind w:firstLine="540"/>
        <w:jc w:val="both"/>
        <w:rPr>
          <w:spacing w:val="-2"/>
          <w:sz w:val="28"/>
          <w:szCs w:val="28"/>
        </w:rPr>
      </w:pPr>
      <w:r>
        <w:rPr>
          <w:spacing w:val="-2"/>
          <w:sz w:val="28"/>
          <w:szCs w:val="28"/>
        </w:rPr>
      </w:r>
    </w:p>
    <w:p>
      <w:pPr>
        <w:pStyle w:val="095"/>
        <w:ind w:left="1068" w:hanging="0"/>
        <w:rPr>
          <w:sz w:val="24"/>
          <w:szCs w:val="24"/>
        </w:rPr>
      </w:pPr>
      <w:r>
        <w:rPr>
          <w:sz w:val="24"/>
          <w:szCs w:val="24"/>
        </w:rPr>
      </w:r>
    </w:p>
    <w:p>
      <w:pPr>
        <w:pStyle w:val="ListParagraph"/>
        <w:numPr>
          <w:ilvl w:val="0"/>
          <w:numId w:val="2"/>
        </w:numPr>
        <w:jc w:val="both"/>
        <w:rPr>
          <w:rStyle w:val="Strong"/>
          <w:b w:val="false"/>
          <w:b w:val="false"/>
          <w:color w:val="282828"/>
          <w:sz w:val="28"/>
          <w:szCs w:val="28"/>
        </w:rPr>
      </w:pPr>
      <w:r>
        <w:rPr>
          <w:rStyle w:val="Strong"/>
          <w:b w:val="false"/>
          <w:color w:val="282828"/>
          <w:sz w:val="28"/>
          <w:szCs w:val="28"/>
        </w:rPr>
        <w:t>Рынок бытового обслуживания</w:t>
      </w:r>
    </w:p>
    <w:p>
      <w:pPr>
        <w:pStyle w:val="ListParagraph"/>
        <w:ind w:left="0" w:firstLine="1068"/>
        <w:jc w:val="both"/>
        <w:rPr>
          <w:sz w:val="28"/>
          <w:szCs w:val="28"/>
        </w:rPr>
      </w:pPr>
      <w:r>
        <w:rPr>
          <w:sz w:val="28"/>
          <w:szCs w:val="28"/>
        </w:rPr>
      </w:r>
    </w:p>
    <w:p>
      <w:pPr>
        <w:pStyle w:val="ListParagraph"/>
        <w:ind w:left="0" w:firstLine="397"/>
        <w:jc w:val="both"/>
        <w:rPr>
          <w:sz w:val="28"/>
          <w:szCs w:val="28"/>
        </w:rPr>
      </w:pPr>
      <w:r>
        <w:rPr>
          <w:sz w:val="28"/>
          <w:szCs w:val="28"/>
        </w:rPr>
        <w:t>Современный потребительский рынок Быстринского муниципального района характеризуется относительно не высокой насыщенностью предложений по оказанию бытовых услуг. На сегодняшний день отсутствие  по оказанию таких  услуг как изготовление и ремонт обуви, бытовой  и сложной техники.</w:t>
      </w:r>
    </w:p>
    <w:p>
      <w:pPr>
        <w:pStyle w:val="Normal"/>
        <w:ind w:left="0" w:firstLine="397"/>
        <w:jc w:val="both"/>
        <w:rPr>
          <w:sz w:val="28"/>
          <w:szCs w:val="28"/>
        </w:rPr>
      </w:pPr>
      <w:r>
        <w:rPr>
          <w:sz w:val="28"/>
          <w:szCs w:val="28"/>
        </w:rPr>
      </w:r>
    </w:p>
    <w:p>
      <w:pPr>
        <w:pStyle w:val="ListParagraph"/>
        <w:spacing w:lineRule="atLeast" w:line="240"/>
        <w:ind w:left="0" w:firstLine="397"/>
        <w:jc w:val="both"/>
        <w:rPr>
          <w:color w:val="000000"/>
          <w:sz w:val="28"/>
          <w:szCs w:val="28"/>
        </w:rPr>
      </w:pPr>
      <w:r>
        <w:rPr>
          <w:color w:val="000000"/>
          <w:sz w:val="28"/>
          <w:szCs w:val="28"/>
        </w:rPr>
        <w:t>Рынок бытовых услуг сконцентрирован в районном центре – с.Эссо.</w:t>
      </w:r>
    </w:p>
    <w:p>
      <w:pPr>
        <w:pStyle w:val="ListParagraph"/>
        <w:spacing w:lineRule="atLeast" w:line="240"/>
        <w:ind w:left="0" w:firstLine="397"/>
        <w:jc w:val="both"/>
        <w:rPr>
          <w:color w:val="000000"/>
          <w:sz w:val="28"/>
          <w:szCs w:val="28"/>
        </w:rPr>
      </w:pPr>
      <w:r>
        <w:rPr>
          <w:color w:val="000000"/>
          <w:sz w:val="28"/>
          <w:szCs w:val="28"/>
        </w:rPr>
        <w:t>Основными факторами, сдерживающими развитие конкуренции в сфере предоставления бытовых услуг, является:</w:t>
      </w:r>
    </w:p>
    <w:p>
      <w:pPr>
        <w:pStyle w:val="ListParagraph"/>
        <w:spacing w:lineRule="atLeast" w:line="240"/>
        <w:ind w:left="0" w:firstLine="397"/>
        <w:jc w:val="both"/>
        <w:rPr>
          <w:sz w:val="28"/>
          <w:szCs w:val="28"/>
        </w:rPr>
      </w:pPr>
      <w:r>
        <w:rPr>
          <w:color w:val="000000"/>
          <w:sz w:val="28"/>
          <w:szCs w:val="28"/>
        </w:rPr>
        <w:t xml:space="preserve">- </w:t>
      </w:r>
      <w:r>
        <w:rPr>
          <w:sz w:val="28"/>
          <w:szCs w:val="28"/>
        </w:rPr>
        <w:t>нехватка квалифицированных кадров, особенно рабочих профессий (портные, закройщики, сапожники, специалисты по ремонту сложной техники);</w:t>
      </w:r>
    </w:p>
    <w:p>
      <w:pPr>
        <w:pStyle w:val="ListParagraph"/>
        <w:spacing w:lineRule="atLeast" w:line="240"/>
        <w:ind w:left="0" w:firstLine="397"/>
        <w:jc w:val="both"/>
        <w:rPr>
          <w:sz w:val="28"/>
          <w:szCs w:val="28"/>
        </w:rPr>
      </w:pPr>
      <w:r>
        <w:rPr>
          <w:sz w:val="28"/>
          <w:szCs w:val="28"/>
        </w:rPr>
        <w:t>- отсутствие собственных оборотных средств;</w:t>
      </w:r>
    </w:p>
    <w:p>
      <w:pPr>
        <w:pStyle w:val="ListParagraph"/>
        <w:spacing w:lineRule="atLeast" w:line="240"/>
        <w:ind w:left="0" w:firstLine="397"/>
        <w:jc w:val="both"/>
        <w:rPr>
          <w:color w:val="000000"/>
          <w:sz w:val="28"/>
          <w:szCs w:val="28"/>
        </w:rPr>
      </w:pPr>
      <w:r>
        <w:rPr>
          <w:color w:val="000000"/>
          <w:sz w:val="28"/>
          <w:szCs w:val="28"/>
        </w:rPr>
        <w:t>-</w:t>
      </w:r>
      <w:r>
        <w:rPr>
          <w:sz w:val="28"/>
          <w:szCs w:val="28"/>
        </w:rPr>
        <w:t>проникновение на рынок низкокачественной продукции, которая по себестоимости значительно ниже услуг по ремонту и изготовлению обуви, текстильных и трикотажный изделий, мебели, бытовой техники.</w:t>
      </w:r>
      <w:r>
        <w:rPr>
          <w:color w:val="000000"/>
          <w:sz w:val="28"/>
          <w:szCs w:val="28"/>
        </w:rPr>
        <w:t xml:space="preserve"> </w:t>
      </w:r>
      <w:r>
        <w:rPr>
          <w:sz w:val="28"/>
          <w:szCs w:val="28"/>
        </w:rPr>
        <w:t xml:space="preserve">Рынок бытовых услуг, имеет большую социальную значимость в Быстринском  районе. </w:t>
      </w:r>
      <w:r>
        <w:rPr>
          <w:color w:val="000000"/>
          <w:sz w:val="28"/>
          <w:szCs w:val="28"/>
        </w:rPr>
        <w:t>Администрацией муниципального района  ведется  работа совместно с Центром занятости по Быстринскому району  из числа безработных граждан, состоящих на учете по безработице с целью их обучения профессиям необходимых для предоставления таких услуг.  А также содействию  в оформлении их в качестве индивидуального предпринимателя с последующим обучением в Школе молодого предпринимателя. После обучения начинающие предприниматели  смогут оформить документы на получение гранта из средств бюджета Быстринского муниципального района на социально значимые проекты, которые необходимы для района.</w:t>
      </w:r>
    </w:p>
    <w:p>
      <w:pPr>
        <w:pStyle w:val="ListParagraph"/>
        <w:spacing w:lineRule="atLeast" w:line="240"/>
        <w:ind w:left="0" w:hanging="0"/>
        <w:jc w:val="both"/>
        <w:rPr>
          <w:color w:val="000000"/>
          <w:sz w:val="28"/>
          <w:szCs w:val="28"/>
        </w:rPr>
      </w:pPr>
      <w:r>
        <w:rPr>
          <w:color w:val="000000"/>
          <w:sz w:val="28"/>
          <w:szCs w:val="28"/>
        </w:rPr>
        <w:t>Развитие конкуренции в этой области будет способствовать дополнительной занятости населения, обеспечению доступности населения Быстринского района (включая отдаленные населенные пункты) к бытовым  услугам, повысит качество и комфортность жизни населения.</w:t>
      </w:r>
    </w:p>
    <w:p>
      <w:pPr>
        <w:pStyle w:val="ListParagraph"/>
        <w:ind w:left="1068" w:hanging="0"/>
        <w:jc w:val="both"/>
        <w:rPr>
          <w:color w:val="000000"/>
          <w:sz w:val="28"/>
          <w:szCs w:val="28"/>
        </w:rPr>
      </w:pPr>
      <w:r>
        <w:rPr>
          <w:color w:val="000000"/>
          <w:sz w:val="28"/>
          <w:szCs w:val="28"/>
        </w:rPr>
      </w:r>
    </w:p>
    <w:p>
      <w:pPr>
        <w:pStyle w:val="ListParagraph"/>
        <w:ind w:left="1068" w:hanging="0"/>
        <w:jc w:val="both"/>
        <w:rPr>
          <w:sz w:val="28"/>
          <w:szCs w:val="28"/>
        </w:rPr>
      </w:pPr>
      <w:r>
        <w:rPr>
          <w:color w:val="000000"/>
          <w:sz w:val="28"/>
          <w:szCs w:val="28"/>
        </w:rPr>
        <w:t>6.</w:t>
        <w:tab/>
      </w:r>
      <w:r>
        <w:rPr>
          <w:rStyle w:val="Strong"/>
          <w:b w:val="false"/>
          <w:color w:val="282828"/>
          <w:sz w:val="28"/>
          <w:szCs w:val="28"/>
        </w:rPr>
        <w:t>Рынок  развития сельского хозяйства</w:t>
      </w:r>
    </w:p>
    <w:p>
      <w:pPr>
        <w:pStyle w:val="ConsPlusNormal"/>
        <w:numPr>
          <w:ilvl w:val="0"/>
          <w:numId w:val="0"/>
        </w:numPr>
        <w:ind w:firstLine="708"/>
        <w:jc w:val="both"/>
        <w:outlineLvl w:val="1"/>
        <w:rPr>
          <w:rFonts w:ascii="Times New Roman" w:hAnsi="Times New Roman" w:cs="Times New Roman"/>
          <w:sz w:val="24"/>
          <w:szCs w:val="24"/>
        </w:rPr>
      </w:pPr>
      <w:r>
        <w:rPr>
          <w:rFonts w:cs="Times New Roman" w:ascii="Times New Roman" w:hAnsi="Times New Roman"/>
          <w:sz w:val="24"/>
          <w:szCs w:val="24"/>
        </w:rPr>
      </w:r>
    </w:p>
    <w:p>
      <w:pPr>
        <w:pStyle w:val="BodyTextIndent2"/>
        <w:spacing w:lineRule="auto" w:line="276"/>
        <w:ind w:left="0" w:firstLine="708"/>
        <w:rPr>
          <w:szCs w:val="28"/>
        </w:rPr>
      </w:pPr>
      <w:r>
        <w:rPr/>
        <w:t xml:space="preserve"> </w:t>
      </w:r>
      <w:r>
        <w:rPr/>
        <w:t xml:space="preserve">Сельское хозяйство в районе занимаются  </w:t>
      </w:r>
      <w:r>
        <w:rPr>
          <w:szCs w:val="28"/>
        </w:rPr>
        <w:t xml:space="preserve"> три  сельскохозяйственных предприятия, два из которых занимаются оленеводством: ООО «Оленевод», ООО «Акенман».  Поголовье на 1 Января 2017   года  8656 поголовье оленей,  маточное поголовье 3849. По сравнению с прошлым годом поголовье оленей увеличилось 1,09 раза. Продолжает развитие в отрасли животноводства муниципальное унитарное предприятие «Быстринское сельскохозяйственное предприятие» . В этом году запланировано по сравнению с прошлым   годом заготовка в большем объеме концентрированных и грубых  кормов, приобретение сельскохозяйственной техники и запасных частей на сельскохозяйственную технику. На зимне-стойловый период будет засеяно на площади 31 га посевных материалов.</w:t>
      </w:r>
    </w:p>
    <w:p>
      <w:pPr>
        <w:pStyle w:val="Normal"/>
        <w:ind w:firstLine="540"/>
        <w:jc w:val="both"/>
        <w:rPr>
          <w:sz w:val="28"/>
          <w:szCs w:val="28"/>
        </w:rPr>
      </w:pPr>
      <w:r>
        <w:rPr>
          <w:sz w:val="28"/>
          <w:szCs w:val="28"/>
        </w:rPr>
        <w:t xml:space="preserve">На территории района зарегистрированы 10 крестьянско-фермерских хозяйств, это разведение животноводства, коневодство, овощеводство. Самое крупное крестьянско-фермерское хозяйство – Веригиной Н.Н. В этом хозяйстве насчитывается 14 коров, 1 бык-производитель и 24 – молодняка. Площадь земель, предоставленных для ведения к\ф хозяйства </w:t>
      </w:r>
      <w:r>
        <w:rPr>
          <w:strike/>
          <w:sz w:val="28"/>
          <w:szCs w:val="28"/>
        </w:rPr>
        <w:t>44</w:t>
      </w:r>
      <w:r>
        <w:rPr>
          <w:sz w:val="28"/>
          <w:szCs w:val="28"/>
        </w:rPr>
        <w:t xml:space="preserve"> га на которых выпасаются сельскохозяйственные животные. </w:t>
      </w:r>
    </w:p>
    <w:p>
      <w:pPr>
        <w:pStyle w:val="Normal"/>
        <w:ind w:firstLine="540"/>
        <w:jc w:val="both"/>
        <w:rPr>
          <w:sz w:val="28"/>
          <w:szCs w:val="28"/>
        </w:rPr>
      </w:pPr>
      <w:r>
        <w:rPr>
          <w:sz w:val="28"/>
          <w:szCs w:val="28"/>
        </w:rPr>
        <w:t xml:space="preserve"> </w:t>
      </w:r>
      <w:r>
        <w:rPr>
          <w:sz w:val="28"/>
          <w:szCs w:val="28"/>
        </w:rPr>
        <w:t>Расширятся  тепличное хозяйство. Пять индивидуальных предпринимателей занимаются выращиванием овощей закрытого грунта . На текущий  год запланировано еще 800 кв.м. Расширяется ассортимент выращивания овощей и фруктов.</w:t>
      </w:r>
    </w:p>
    <w:p>
      <w:pPr>
        <w:pStyle w:val="Normal"/>
        <w:ind w:firstLine="540"/>
        <w:rPr>
          <w:sz w:val="28"/>
          <w:szCs w:val="28"/>
        </w:rPr>
      </w:pPr>
      <w:r>
        <w:rPr>
          <w:sz w:val="28"/>
          <w:szCs w:val="28"/>
        </w:rPr>
        <w:t>Есть факторы, которые сдерживают развитие предпринимательской деятельности в сфере сельского хозяйства:</w:t>
      </w:r>
    </w:p>
    <w:p>
      <w:pPr>
        <w:pStyle w:val="Normal"/>
        <w:ind w:firstLine="540"/>
        <w:rPr>
          <w:sz w:val="28"/>
          <w:szCs w:val="28"/>
        </w:rPr>
      </w:pPr>
      <w:r>
        <w:rPr>
          <w:sz w:val="28"/>
          <w:szCs w:val="28"/>
        </w:rPr>
        <w:t>- отсутствие оборотных средств;</w:t>
      </w:r>
    </w:p>
    <w:p>
      <w:pPr>
        <w:pStyle w:val="Normal"/>
        <w:ind w:firstLine="540"/>
        <w:rPr>
          <w:sz w:val="28"/>
          <w:szCs w:val="28"/>
        </w:rPr>
      </w:pPr>
      <w:r>
        <w:rPr>
          <w:sz w:val="28"/>
          <w:szCs w:val="28"/>
        </w:rPr>
        <w:t>-  высокие тарифы на энергоресурсы, особенно в зимний период;</w:t>
      </w:r>
    </w:p>
    <w:p>
      <w:pPr>
        <w:pStyle w:val="Normal"/>
        <w:ind w:firstLine="540"/>
        <w:rPr>
          <w:sz w:val="28"/>
          <w:szCs w:val="28"/>
        </w:rPr>
      </w:pPr>
      <w:r>
        <w:rPr>
          <w:sz w:val="28"/>
          <w:szCs w:val="28"/>
        </w:rPr>
        <w:t>- удаленность от краевого центра.</w:t>
      </w:r>
    </w:p>
    <w:p>
      <w:pPr>
        <w:pStyle w:val="Normal"/>
        <w:ind w:firstLine="540"/>
        <w:rPr>
          <w:sz w:val="28"/>
          <w:szCs w:val="28"/>
        </w:rPr>
      </w:pPr>
      <w:r>
        <w:rPr>
          <w:sz w:val="28"/>
          <w:szCs w:val="28"/>
        </w:rPr>
        <w:t>Используя климатическую особенность района, имея природные ресурсы, а  также создания необходимых условий для устойчивого и эффективного функционирования предприятий всех форм собственности тем самым  достигнем повышения конкурентноспособности продукции местного производства, наиболее полно обеспечим населения района качественными сельскохозяйственными продуктами.</w:t>
      </w:r>
    </w:p>
    <w:p>
      <w:pPr>
        <w:pStyle w:val="Normal"/>
        <w:ind w:firstLine="540"/>
        <w:rPr>
          <w:sz w:val="28"/>
          <w:szCs w:val="28"/>
        </w:rPr>
      </w:pPr>
      <w:r>
        <w:rPr>
          <w:sz w:val="28"/>
          <w:szCs w:val="28"/>
        </w:rPr>
        <w:t xml:space="preserve"> </w:t>
      </w:r>
    </w:p>
    <w:p>
      <w:pPr>
        <w:pStyle w:val="Normal"/>
        <w:ind w:left="540" w:firstLine="708"/>
        <w:rPr>
          <w:sz w:val="28"/>
        </w:rPr>
      </w:pPr>
      <w:r>
        <w:rPr>
          <w:sz w:val="28"/>
          <w:szCs w:val="28"/>
        </w:rPr>
        <w:t>7.</w:t>
      </w:r>
      <w:r>
        <w:rPr>
          <w:rStyle w:val="Strong"/>
          <w:b w:val="false"/>
          <w:color w:val="282828"/>
          <w:sz w:val="28"/>
          <w:szCs w:val="28"/>
        </w:rPr>
        <w:t xml:space="preserve"> Рынок туристических услуг</w:t>
      </w:r>
      <w:r>
        <w:rPr>
          <w:sz w:val="28"/>
        </w:rPr>
        <w:br/>
      </w:r>
    </w:p>
    <w:p>
      <w:pPr>
        <w:pStyle w:val="BodyTextIndent2"/>
        <w:spacing w:lineRule="auto" w:line="276"/>
        <w:ind w:left="0" w:firstLine="708"/>
        <w:rPr/>
      </w:pPr>
      <w:r>
        <w:rPr/>
        <w:t>Туристический бизнес является  перспективной  отраслью  развития  района,  он  быстрее,  чем  другие  отрасли  адаптируется  к  рыночным   условиям.</w:t>
      </w:r>
    </w:p>
    <w:p>
      <w:pPr>
        <w:pStyle w:val="BodyTextIndent2"/>
        <w:spacing w:lineRule="auto" w:line="276"/>
        <w:ind w:left="0" w:hanging="0"/>
        <w:rPr/>
      </w:pPr>
      <w:r>
        <w:rPr/>
        <w:t xml:space="preserve"> </w:t>
      </w:r>
      <w:r>
        <w:rPr/>
        <w:t>В Быстринском районе возможны все виды туризма: познавательный, деловой, научный, горнолыжный, лечебно-оздоровительный, охотничий. Развит событийный туризм в районе. В период проведения краевых мероприятий: гонка на собачьих упряжках «Берингия», «День Оленевода», праздник Первой рыбы, Новый год по эвенскому календарю, День района посещают большой наплыв туристов. Для привлечения туристов в район за счет средств местного и краевого бюджетов обустраиваются места отдыха для туристов.</w:t>
      </w:r>
    </w:p>
    <w:p>
      <w:pPr>
        <w:pStyle w:val="BodyTextIndent2"/>
        <w:spacing w:lineRule="auto" w:line="276"/>
        <w:ind w:left="0" w:firstLine="708"/>
        <w:rPr/>
      </w:pPr>
      <w:r>
        <w:rPr/>
        <w:t>На сегодняшний день за счет притока туристов в районе развился гостиничный бизнес. В районе расположены 14 объектов, которые предоставляют места для проживания туристов и гостей района с разным уровнем доходов. Разнообразен досуг  отдыхающих: зимой - катание на лыжах , снегоходах, езда на собачьих упряжках, оленях ,  посещение табунов. В летнее время: грязелечебные ванные, конные и пешие маршруты, езда на  квадроциклах, сплав по рекам.</w:t>
      </w:r>
    </w:p>
    <w:p>
      <w:pPr>
        <w:pStyle w:val="BodyTextIndent2"/>
        <w:spacing w:lineRule="auto" w:line="276"/>
        <w:ind w:left="0" w:firstLine="708"/>
        <w:rPr/>
      </w:pPr>
      <w:r>
        <w:rPr/>
        <w:t xml:space="preserve"> </w:t>
      </w:r>
      <w:r>
        <w:rPr/>
        <w:t xml:space="preserve">За счет развития охотничьего промысла в районе: увеличился поток охотников в весеннюю и осеннюю охоту как российский граждан, так и иностранных туристов. </w:t>
      </w:r>
    </w:p>
    <w:p>
      <w:pPr>
        <w:pStyle w:val="BodyTextIndent2"/>
        <w:spacing w:lineRule="auto" w:line="276"/>
        <w:ind w:left="0" w:firstLine="708"/>
        <w:rPr/>
      </w:pPr>
      <w:r>
        <w:rPr/>
        <w:t>В этой сфере оказания туристических услуг задействованы большой круг представителей малого бизнеса района. Это:</w:t>
      </w:r>
    </w:p>
    <w:p>
      <w:pPr>
        <w:pStyle w:val="BodyTextIndent2"/>
        <w:spacing w:lineRule="auto" w:line="276"/>
        <w:ind w:left="0" w:firstLine="708"/>
        <w:rPr/>
      </w:pPr>
      <w:r>
        <w:rPr/>
        <w:t>- грузо- и пассажироперевозки;</w:t>
      </w:r>
    </w:p>
    <w:p>
      <w:pPr>
        <w:pStyle w:val="BodyTextIndent2"/>
        <w:spacing w:lineRule="auto" w:line="276"/>
        <w:ind w:left="0" w:firstLine="708"/>
        <w:rPr/>
      </w:pPr>
      <w:r>
        <w:rPr/>
        <w:t>- общественного питания,</w:t>
      </w:r>
    </w:p>
    <w:p>
      <w:pPr>
        <w:pStyle w:val="BodyTextIndent2"/>
        <w:spacing w:lineRule="auto" w:line="276"/>
        <w:ind w:left="0" w:firstLine="708"/>
        <w:rPr/>
      </w:pPr>
      <w:r>
        <w:rPr/>
        <w:t>- гостиничные услуги и услуги связанные с деятельностью по предоставлению мест временного  проживания;</w:t>
      </w:r>
    </w:p>
    <w:p>
      <w:pPr>
        <w:pStyle w:val="BodyTextIndent2"/>
        <w:spacing w:lineRule="auto" w:line="276"/>
        <w:ind w:left="0" w:firstLine="708"/>
        <w:rPr/>
      </w:pPr>
      <w:r>
        <w:rPr/>
        <w:t>- бытовые услуги;</w:t>
      </w:r>
    </w:p>
    <w:p>
      <w:pPr>
        <w:pStyle w:val="BodyTextIndent2"/>
        <w:spacing w:lineRule="auto" w:line="276"/>
        <w:ind w:left="0" w:firstLine="708"/>
        <w:rPr/>
      </w:pPr>
      <w:r>
        <w:rPr/>
        <w:t>- изготовление сувенирной продукции;</w:t>
      </w:r>
    </w:p>
    <w:p>
      <w:pPr>
        <w:pStyle w:val="BodyTextIndent2"/>
        <w:spacing w:lineRule="auto" w:line="276"/>
        <w:ind w:left="0" w:firstLine="708"/>
        <w:rPr/>
      </w:pPr>
      <w:r>
        <w:rPr/>
        <w:t>- сбор и реализация дикоросов;</w:t>
      </w:r>
    </w:p>
    <w:p>
      <w:pPr>
        <w:pStyle w:val="BodyTextIndent2"/>
        <w:spacing w:lineRule="auto" w:line="276"/>
        <w:ind w:left="0" w:firstLine="708"/>
        <w:rPr/>
      </w:pPr>
      <w:r>
        <w:rPr/>
        <w:t>- экспедиционные услуги;</w:t>
      </w:r>
    </w:p>
    <w:p>
      <w:pPr>
        <w:pStyle w:val="BodyTextIndent2"/>
        <w:spacing w:lineRule="auto" w:line="276"/>
        <w:ind w:left="0" w:firstLine="708"/>
        <w:rPr/>
      </w:pPr>
      <w:r>
        <w:rPr/>
        <w:t>- концертная деятельность;</w:t>
      </w:r>
    </w:p>
    <w:p>
      <w:pPr>
        <w:pStyle w:val="BodyTextIndent2"/>
        <w:spacing w:lineRule="auto" w:line="276"/>
        <w:ind w:left="0" w:firstLine="708"/>
        <w:rPr/>
      </w:pPr>
      <w:r>
        <w:rPr/>
        <w:t>- торговля.</w:t>
      </w:r>
    </w:p>
    <w:p>
      <w:pPr>
        <w:pStyle w:val="BodyTextIndent2"/>
        <w:spacing w:lineRule="auto" w:line="276"/>
        <w:ind w:left="0" w:firstLine="708"/>
        <w:rPr/>
      </w:pPr>
      <w:r>
        <w:rPr/>
        <w:t>Для  оказания услуг в сфере  туристической деятельности  в районе задействованные более 50% представителей  малого бизнеса района. Организовано более 100 рабочих мест.</w:t>
      </w:r>
    </w:p>
    <w:p>
      <w:pPr>
        <w:pStyle w:val="BodyTextIndent2"/>
        <w:spacing w:lineRule="auto" w:line="276"/>
        <w:ind w:left="0" w:firstLine="708"/>
        <w:rPr/>
      </w:pPr>
      <w:r>
        <w:rPr/>
        <w:t>В районе недостаточно развит высокоскоростной Интернет, большая разрешимость операторов сотовой связи. Нет отрытого доступа к  денежным банкоматом. Все это сдерживает оперативной работе субъектов малого предпринимательства и туристов. Большие затраты на транспортную и инженерную инфраструктуру. Высокий процент  заема денежных средств в финансовых организациях, высокое налогообложение субъектов малого и среднего предпринимательства не позволяет  достаточно развивать конкурентную среду в сфере туристических услуг в районе.</w:t>
      </w:r>
    </w:p>
    <w:sectPr>
      <w:type w:val="nextPage"/>
      <w:pgSz w:w="11906" w:h="16838"/>
      <w:pgMar w:left="1701" w:right="851"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68" w:hanging="360"/>
      </w:pPr>
      <w:rPr>
        <w:sz w:val="28"/>
        <w:b w:val="false"/>
        <w:rFonts w:ascii="Times New Roman" w:hAnsi="Times New Roman" w:cs="Calibri"/>
        <w:color w:val="2828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0" w:semiHidden="0" w:unhideWhenUsed="0"/>
    <w:lsdException w:name="Body Text Indent 3" w:uiPriority="99"/>
    <w:lsdException w:name="Block Text" w:uiPriority="99"/>
    <w:lsdException w:name="Hyperlink" w:uiPriority="99" w:semiHidden="0" w:unhideWhenUsed="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0" w:semiHidden="0" w:unhideWhenUsed="0"/>
    <w:lsdException w:name="HTML Sample" w:uiPriority="99"/>
    <w:lsdException w:name="HTML Typewriter" w:uiPriority="99"/>
    <w:lsdException w:name="HTML Variable" w:uiPriority="99"/>
    <w:lsdException w:name="Normal Table" w:uiPriority="99" w:semiHidden="0"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semiHidden="0"/>
    <w:lsdException w:name="Table Grid" w:uiPriority="59" w:semiHidden="0" w:unhideWhenUsed="0"/>
    <w:lsdException w:name="Table Theme" w:uiPriority="99"/>
  </w:latentStyles>
  <w:style w:type="paragraph" w:styleId="Normal" w:default="1">
    <w:name w:val="Normal"/>
    <w:uiPriority w:val="0"/>
    <w:qFormat/>
    <w:pPr>
      <w:widowControl/>
      <w:bidi w:val="0"/>
      <w:spacing w:lineRule="auto" w:line="240" w:before="0" w:after="0"/>
      <w:jc w:val="left"/>
    </w:pPr>
    <w:rPr>
      <w:rFonts w:ascii="Times New Roman" w:hAnsi="Times New Roman" w:eastAsia="Times New Roman" w:cs="Times New Roman"/>
      <w:color w:val="auto"/>
      <w:sz w:val="20"/>
      <w:szCs w:val="20"/>
      <w:lang w:val="ru-RU" w:eastAsia="ru-RU" w:bidi="ar-SA"/>
    </w:rPr>
  </w:style>
  <w:style w:type="paragraph" w:styleId="1">
    <w:name w:val="Heading 1"/>
    <w:basedOn w:val="Normal"/>
    <w:link w:val="15"/>
    <w:uiPriority w:val="9"/>
    <w:qFormat/>
    <w:pPr>
      <w:spacing w:beforeAutospacing="1" w:afterAutospacing="1"/>
      <w:outlineLvl w:val="0"/>
    </w:pPr>
    <w:rPr>
      <w:b/>
      <w:bCs/>
      <w:sz w:val="48"/>
      <w:szCs w:val="48"/>
    </w:rPr>
  </w:style>
  <w:style w:type="character" w:styleId="DefaultParagraphFont" w:default="1">
    <w:name w:val="Default Paragraph Font"/>
    <w:uiPriority w:val="1"/>
    <w:unhideWhenUsed/>
    <w:qFormat/>
    <w:rPr/>
  </w:style>
  <w:style w:type="character" w:styleId="Style13">
    <w:name w:val="Выделение"/>
    <w:basedOn w:val="DefaultParagraphFont"/>
    <w:uiPriority w:val="20"/>
    <w:qFormat/>
    <w:rPr>
      <w:i/>
      <w:iCs/>
    </w:rPr>
  </w:style>
  <w:style w:type="character" w:styleId="Style14">
    <w:name w:val="Интернет-ссылка"/>
    <w:basedOn w:val="DefaultParagraphFont"/>
    <w:uiPriority w:val="99"/>
    <w:qFormat/>
    <w:rPr>
      <w:rFonts w:cs="Times New Roman"/>
      <w:color w:val="0000FF"/>
      <w:u w:val="single"/>
    </w:rPr>
  </w:style>
  <w:style w:type="character" w:styleId="Strong">
    <w:name w:val="Strong"/>
    <w:basedOn w:val="DefaultParagraphFont"/>
    <w:uiPriority w:val="22"/>
    <w:qFormat/>
    <w:rPr>
      <w:b/>
      <w:bCs/>
    </w:rPr>
  </w:style>
  <w:style w:type="character" w:styleId="Style15" w:customStyle="1">
    <w:name w:val="Текст выноски Знак"/>
    <w:basedOn w:val="DefaultParagraphFont"/>
    <w:link w:val="3"/>
    <w:uiPriority w:val="99"/>
    <w:semiHidden/>
    <w:qFormat/>
    <w:rPr>
      <w:rFonts w:ascii="Tahoma" w:hAnsi="Tahoma" w:eastAsia="Times New Roman" w:cs="Tahoma"/>
      <w:sz w:val="16"/>
      <w:szCs w:val="16"/>
      <w:lang w:eastAsia="ru-RU"/>
    </w:rPr>
  </w:style>
  <w:style w:type="character" w:styleId="11" w:customStyle="1">
    <w:name w:val="Заголовок 1 Знак"/>
    <w:basedOn w:val="DefaultParagraphFont"/>
    <w:link w:val="2"/>
    <w:uiPriority w:val="9"/>
    <w:qFormat/>
    <w:rPr>
      <w:rFonts w:ascii="Times New Roman" w:hAnsi="Times New Roman" w:eastAsia="Times New Roman" w:cs="Times New Roman"/>
      <w:b/>
      <w:bCs/>
      <w:sz w:val="48"/>
      <w:szCs w:val="48"/>
      <w:lang w:eastAsia="ru-RU"/>
    </w:rPr>
  </w:style>
  <w:style w:type="character" w:styleId="HTML" w:customStyle="1">
    <w:name w:val="Стандартный HTML Знак"/>
    <w:basedOn w:val="DefaultParagraphFont"/>
    <w:link w:val="6"/>
    <w:uiPriority w:val="0"/>
    <w:qFormat/>
    <w:rPr>
      <w:rFonts w:ascii="Courier New" w:hAnsi="Courier New" w:eastAsia="Times New Roman" w:cs="Courier New"/>
      <w:sz w:val="20"/>
      <w:szCs w:val="20"/>
      <w:lang w:eastAsia="ru-RU"/>
    </w:rPr>
  </w:style>
  <w:style w:type="character" w:styleId="2" w:customStyle="1">
    <w:name w:val="Основной текст с отступом 2 Знак"/>
    <w:basedOn w:val="DefaultParagraphFont"/>
    <w:link w:val="5"/>
    <w:uiPriority w:val="0"/>
    <w:qFormat/>
    <w:rPr>
      <w:rFonts w:ascii="Times New Roman" w:hAnsi="Times New Roman" w:eastAsia="Times New Roman" w:cs="Times New Roman"/>
      <w:sz w:val="28"/>
      <w:szCs w:val="20"/>
      <w:lang w:eastAsia="ru-RU"/>
    </w:rPr>
  </w:style>
  <w:style w:type="character" w:styleId="ListLabel1">
    <w:name w:val="ListLabel 1"/>
    <w:qFormat/>
    <w:rPr>
      <w:rFonts w:ascii="Times New Roman" w:hAnsi="Times New Roman" w:cs="Calibri"/>
      <w:b w:val="false"/>
      <w:color w:val="282828"/>
      <w:sz w:val="28"/>
    </w:rPr>
  </w:style>
  <w:style w:type="paragraph" w:styleId="Style16">
    <w:name w:val="Заголовок"/>
    <w:basedOn w:val="Normal"/>
    <w:next w:val="Style17"/>
    <w:qFormat/>
    <w:pPr>
      <w:keepNext/>
      <w:spacing w:before="240" w:after="120"/>
    </w:pPr>
    <w:rPr>
      <w:rFonts w:ascii="Liberation Sans" w:hAnsi="Liberation Sans" w:eastAsia="Lucida Sans Unicode" w:cs="DejaVu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DejaVu Sans"/>
    </w:rPr>
  </w:style>
  <w:style w:type="paragraph" w:styleId="Style19">
    <w:name w:val="Caption"/>
    <w:basedOn w:val="Normal"/>
    <w:qFormat/>
    <w:pPr>
      <w:suppressLineNumbers/>
      <w:spacing w:before="120" w:after="120"/>
    </w:pPr>
    <w:rPr>
      <w:rFonts w:cs="DejaVu Sans"/>
      <w:i/>
      <w:iCs/>
      <w:sz w:val="24"/>
      <w:szCs w:val="24"/>
    </w:rPr>
  </w:style>
  <w:style w:type="paragraph" w:styleId="Style20">
    <w:name w:val="Указатель"/>
    <w:basedOn w:val="Normal"/>
    <w:qFormat/>
    <w:pPr>
      <w:suppressLineNumbers/>
    </w:pPr>
    <w:rPr>
      <w:rFonts w:cs="DejaVu Sans"/>
    </w:rPr>
  </w:style>
  <w:style w:type="paragraph" w:styleId="BalloonText">
    <w:name w:val="Balloon Text"/>
    <w:basedOn w:val="Normal"/>
    <w:link w:val="14"/>
    <w:uiPriority w:val="99"/>
    <w:unhideWhenUsed/>
    <w:qFormat/>
    <w:pPr/>
    <w:rPr>
      <w:rFonts w:ascii="Tahoma" w:hAnsi="Tahoma" w:cs="Tahoma"/>
      <w:sz w:val="16"/>
      <w:szCs w:val="16"/>
    </w:rPr>
  </w:style>
  <w:style w:type="paragraph" w:styleId="NormalWeb">
    <w:name w:val="Normal (Web)"/>
    <w:basedOn w:val="Normal"/>
    <w:uiPriority w:val="99"/>
    <w:unhideWhenUsed/>
    <w:qFormat/>
    <w:pPr>
      <w:spacing w:beforeAutospacing="1" w:afterAutospacing="1"/>
    </w:pPr>
    <w:rPr>
      <w:sz w:val="24"/>
      <w:szCs w:val="24"/>
    </w:rPr>
  </w:style>
  <w:style w:type="paragraph" w:styleId="BodyTextIndent2">
    <w:name w:val="Body Text Indent 2"/>
    <w:basedOn w:val="Normal"/>
    <w:link w:val="20"/>
    <w:uiPriority w:val="0"/>
    <w:qFormat/>
    <w:pPr>
      <w:ind w:left="142" w:firstLine="218"/>
      <w:jc w:val="both"/>
    </w:pPr>
    <w:rPr>
      <w:sz w:val="28"/>
    </w:rPr>
  </w:style>
  <w:style w:type="paragraph" w:styleId="HTMLPreformatted">
    <w:name w:val="HTML Preformatted"/>
    <w:basedOn w:val="Normal"/>
    <w:link w:val="19"/>
    <w:uiPriority w:val="0"/>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customStyle="1">
    <w:name w:val="List Paragraph"/>
    <w:basedOn w:val="Normal"/>
    <w:uiPriority w:val="34"/>
    <w:qFormat/>
    <w:pPr>
      <w:spacing w:before="0" w:after="0"/>
      <w:ind w:left="720" w:hanging="0"/>
      <w:contextualSpacing/>
    </w:pPr>
    <w:rPr/>
  </w:style>
  <w:style w:type="paragraph" w:styleId="ConsPlusNormal" w:customStyle="1">
    <w:name w:val="ConsPlusNormal"/>
    <w:uiPriority w:val="0"/>
    <w:qFormat/>
    <w:pPr>
      <w:widowControl w:val="false"/>
      <w:bidi w:val="0"/>
      <w:spacing w:lineRule="auto" w:line="240" w:before="0" w:after="0"/>
      <w:jc w:val="left"/>
    </w:pPr>
    <w:rPr>
      <w:rFonts w:ascii="Calibri" w:hAnsi="Calibri" w:eastAsia="Times New Roman" w:cs="Calibri" w:asciiTheme="minorHAnsi" w:hAnsiTheme="minorHAnsi"/>
      <w:color w:val="auto"/>
      <w:sz w:val="22"/>
      <w:szCs w:val="20"/>
      <w:lang w:val="ru-RU" w:eastAsia="ru-RU" w:bidi="ar-SA"/>
    </w:rPr>
  </w:style>
  <w:style w:type="paragraph" w:styleId="095" w:customStyle="1">
    <w:name w:val="Стиль Первая строка:  095 см"/>
    <w:basedOn w:val="Normal"/>
    <w:uiPriority w:val="0"/>
    <w:qFormat/>
    <w:pPr>
      <w:ind w:firstLine="539"/>
      <w:jc w:val="both"/>
    </w:pPr>
    <w:rPr>
      <w:sz w:val="25"/>
      <w:lang w:eastAsia="ar-SA"/>
    </w:rPr>
  </w:style>
  <w:style w:type="paragraph" w:styleId="12" w:customStyle="1">
    <w:name w:val="Знак1"/>
    <w:basedOn w:val="Normal"/>
    <w:uiPriority w:val="0"/>
    <w:qFormat/>
    <w:pPr>
      <w:spacing w:beforeAutospacing="1" w:afterAutospacing="1"/>
    </w:pPr>
    <w:rPr>
      <w:rFonts w:ascii="Tahoma" w:hAnsi="Tahoma"/>
      <w:lang w:val="en-US" w:eastAsia="en-US"/>
    </w:rPr>
  </w:style>
  <w:style w:type="table" w:default="1" w:styleId="11">
    <w:name w:val="Normal Table"/>
    <w:uiPriority w:val="99"/>
    <w:unhideWhenUsed/>
    <w:qFormat/>
    <w:tblPr>
      <w:tblCellMar>
        <w:top w:w="0" w:type="dxa"/>
        <w:left w:w="108" w:type="dxa"/>
        <w:bottom w:w="0" w:type="dxa"/>
        <w:right w:w="108" w:type="dxa"/>
      </w:tblCellMar>
    </w:tblPr>
  </w:style>
  <w:style w:type="table" w:styleId="12">
    <w:name w:val="Table Grid"/>
    <w:basedOn w:val="11"/>
    <w:uiPriority w:val="5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ssobmr.ru/" TargetMode="External"/><Relationship Id="rId4" Type="http://schemas.openxmlformats.org/officeDocument/2006/relationships/hyperlink" Target="mailto:admesso@yandex.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LibreOffice/5.2.7.2$Linux_X86_64 LibreOffice_project/20m0$Build-2</Application>
  <Pages>15</Pages>
  <Words>2946</Words>
  <Characters>22338</Characters>
  <CharactersWithSpaces>25265</CharactersWithSpaces>
  <Paragraphs>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2017-10-19T22:30:00Z</dcterms:created>
  <dc:creator>Банаканова</dc:creator>
  <dc:description/>
  <dc:language>ru-RU</dc:language>
  <cp:lastModifiedBy/>
  <cp:lastPrinted>2017-11-09T03:25:00Z</cp:lastPrinted>
  <dcterms:modified xsi:type="dcterms:W3CDTF">2017-11-10T08:43:05Z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1049-10.1.0.5707</vt:lpwstr>
  </property>
  <property fmtid="{D5CDD505-2E9C-101B-9397-08002B2CF9AE}" pid="4" name="LinksUpToDate">
    <vt:bool>0</vt:bool>
  </property>
  <property fmtid="{D5CDD505-2E9C-101B-9397-08002B2CF9AE}" pid="5" name="ScaleCrop">
    <vt:bool>0</vt:bool>
  </property>
</Properties>
</file>